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8BCE" w14:textId="77777777" w:rsidR="003609B6" w:rsidRPr="006E2FDE" w:rsidRDefault="00B11F5D">
      <w:pPr>
        <w:spacing w:line="240" w:lineRule="auto"/>
        <w:jc w:val="center"/>
        <w:rPr>
          <w:rFonts w:ascii="Times New Roman" w:eastAsia="標楷體" w:hAnsi="Times New Roman" w:cs="Times New Roman"/>
          <w:color w:val="auto"/>
        </w:rPr>
      </w:pPr>
      <w:r w:rsidRPr="006E2FDE">
        <w:rPr>
          <w:rFonts w:ascii="Times New Roman" w:eastAsia="標楷體" w:hAnsi="Times New Roman" w:cs="Times New Roman"/>
          <w:color w:val="auto"/>
        </w:rPr>
        <w:t>11</w:t>
      </w:r>
      <w:r w:rsidR="00240294">
        <w:rPr>
          <w:rFonts w:ascii="Times New Roman" w:eastAsia="標楷體" w:hAnsi="Times New Roman" w:cs="Times New Roman" w:hint="eastAsia"/>
          <w:color w:val="auto"/>
        </w:rPr>
        <w:t>4</w:t>
      </w:r>
      <w:r w:rsidRPr="006E2FDE">
        <w:rPr>
          <w:rFonts w:ascii="Times New Roman" w:eastAsia="標楷體" w:hAnsi="Times New Roman" w:cs="Times New Roman"/>
          <w:color w:val="auto"/>
          <w:lang w:val="zh-TW"/>
        </w:rPr>
        <w:t>學年度</w:t>
      </w:r>
      <w:r w:rsidRPr="006E2FDE">
        <w:rPr>
          <w:rFonts w:ascii="Times New Roman" w:eastAsia="標楷體" w:hAnsi="Times New Roman" w:cs="Times New Roman"/>
          <w:color w:val="auto"/>
        </w:rPr>
        <w:t xml:space="preserve"> </w:t>
      </w:r>
      <w:r w:rsidRPr="006E2FDE">
        <w:rPr>
          <w:rFonts w:ascii="Times New Roman" w:eastAsia="標楷體" w:hAnsi="Times New Roman" w:cs="Times New Roman"/>
          <w:color w:val="auto"/>
          <w:lang w:val="zh-TW"/>
        </w:rPr>
        <w:t>第</w:t>
      </w:r>
      <w:r w:rsidRPr="006E2FDE">
        <w:rPr>
          <w:rFonts w:ascii="Times New Roman" w:eastAsia="標楷體" w:hAnsi="Times New Roman" w:cs="Times New Roman"/>
          <w:color w:val="auto"/>
        </w:rPr>
        <w:t>1</w:t>
      </w:r>
      <w:r w:rsidRPr="006E2FDE">
        <w:rPr>
          <w:rFonts w:ascii="Times New Roman" w:eastAsia="標楷體" w:hAnsi="Times New Roman" w:cs="Times New Roman"/>
          <w:color w:val="auto"/>
          <w:lang w:val="zh-TW"/>
        </w:rPr>
        <w:t>學期</w:t>
      </w:r>
      <w:r w:rsidRPr="006E2FDE">
        <w:rPr>
          <w:rFonts w:ascii="Times New Roman" w:eastAsia="標楷體" w:hAnsi="Times New Roman" w:cs="Times New Roman"/>
          <w:color w:val="auto"/>
        </w:rPr>
        <w:t xml:space="preserve"> </w:t>
      </w:r>
      <w:r w:rsidRPr="006E2FDE">
        <w:rPr>
          <w:rFonts w:ascii="Times New Roman" w:eastAsia="標楷體" w:hAnsi="Times New Roman" w:cs="Times New Roman"/>
          <w:color w:val="auto"/>
          <w:lang w:val="zh-TW"/>
        </w:rPr>
        <w:t>課程綱要</w:t>
      </w:r>
    </w:p>
    <w:tbl>
      <w:tblPr>
        <w:tblStyle w:val="TableNormal"/>
        <w:tblW w:w="147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5"/>
        <w:gridCol w:w="1335"/>
        <w:gridCol w:w="2820"/>
        <w:gridCol w:w="1320"/>
        <w:gridCol w:w="3270"/>
        <w:gridCol w:w="4313"/>
      </w:tblGrid>
      <w:tr w:rsidR="00B11F5D" w:rsidRPr="006E2FDE" w14:paraId="4446AB53" w14:textId="77777777">
        <w:trPr>
          <w:trHeight w:val="364"/>
          <w:jc w:val="center"/>
        </w:trPr>
        <w:tc>
          <w:tcPr>
            <w:tcW w:w="7140" w:type="dxa"/>
            <w:gridSpan w:val="4"/>
            <w:vMerge w:val="restart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B0AB8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課程名稱：</w:t>
            </w:r>
          </w:p>
          <w:p w14:paraId="5AC7071D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（中文）高績效的經營管理</w:t>
            </w:r>
          </w:p>
          <w:p w14:paraId="2068D9C6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（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英文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）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Building and leading high-performance enterprise</w:t>
            </w:r>
          </w:p>
        </w:tc>
        <w:tc>
          <w:tcPr>
            <w:tcW w:w="3270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74C88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開課單位：</w:t>
            </w:r>
          </w:p>
        </w:tc>
        <w:tc>
          <w:tcPr>
            <w:tcW w:w="4313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FE1D0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EMBA</w:t>
            </w:r>
          </w:p>
        </w:tc>
      </w:tr>
      <w:tr w:rsidR="00B11F5D" w:rsidRPr="006E2FDE" w14:paraId="052D5824" w14:textId="77777777">
        <w:trPr>
          <w:trHeight w:val="506"/>
          <w:jc w:val="center"/>
        </w:trPr>
        <w:tc>
          <w:tcPr>
            <w:tcW w:w="7140" w:type="dxa"/>
            <w:gridSpan w:val="4"/>
            <w:vMerge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62EC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AD46D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永久課號</w:t>
            </w:r>
            <w:proofErr w:type="gramEnd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：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012A" w14:textId="77777777" w:rsidR="003609B6" w:rsidRPr="006E2FDE" w:rsidRDefault="00CC4654" w:rsidP="00B11F5D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MGME30026</w:t>
            </w:r>
          </w:p>
        </w:tc>
      </w:tr>
      <w:tr w:rsidR="00B11F5D" w:rsidRPr="006E2FDE" w14:paraId="2D5FDC8A" w14:textId="77777777">
        <w:trPr>
          <w:trHeight w:val="690"/>
          <w:jc w:val="center"/>
        </w:trPr>
        <w:tc>
          <w:tcPr>
            <w:tcW w:w="14723" w:type="dxa"/>
            <w:gridSpan w:val="6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B132D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授課教師：</w:t>
            </w:r>
          </w:p>
          <w:p w14:paraId="533B84BB" w14:textId="77777777" w:rsidR="003609B6" w:rsidRPr="006E2FDE" w:rsidRDefault="003C67E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/>
                <w:color w:val="auto"/>
                <w:lang w:val="zh-TW"/>
              </w:rPr>
              <w:t>黃鴻順、</w:t>
            </w:r>
            <w:r>
              <w:rPr>
                <w:rFonts w:ascii="Times New Roman" w:eastAsia="標楷體" w:hAnsi="Times New Roman" w:cs="Times New Roman" w:hint="eastAsia"/>
                <w:color w:val="auto"/>
                <w:lang w:val="zh-TW"/>
              </w:rPr>
              <w:t>林春成</w:t>
            </w:r>
          </w:p>
        </w:tc>
      </w:tr>
      <w:tr w:rsidR="00B11F5D" w:rsidRPr="006E2FDE" w14:paraId="7DE368BE" w14:textId="77777777">
        <w:trPr>
          <w:trHeight w:val="35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C7578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學分數：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3668A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1.00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1B630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必／選修：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74B98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選修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BDF50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開課年級：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2B269" w14:textId="77777777" w:rsidR="003609B6" w:rsidRPr="006E2FDE" w:rsidRDefault="00096756">
            <w:pPr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純學分班</w:t>
            </w:r>
          </w:p>
        </w:tc>
      </w:tr>
      <w:tr w:rsidR="00B11F5D" w:rsidRPr="006E2FDE" w14:paraId="52C21396" w14:textId="77777777">
        <w:trPr>
          <w:trHeight w:val="690"/>
          <w:jc w:val="center"/>
        </w:trPr>
        <w:tc>
          <w:tcPr>
            <w:tcW w:w="14723" w:type="dxa"/>
            <w:gridSpan w:val="6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631F1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先修科目或先備能力：</w:t>
            </w:r>
          </w:p>
          <w:p w14:paraId="7226BA32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無</w:t>
            </w:r>
          </w:p>
        </w:tc>
      </w:tr>
      <w:tr w:rsidR="00B11F5D" w:rsidRPr="006E2FDE" w14:paraId="0FE9E387" w14:textId="77777777">
        <w:trPr>
          <w:trHeight w:val="3786"/>
          <w:jc w:val="center"/>
        </w:trPr>
        <w:tc>
          <w:tcPr>
            <w:tcW w:w="14723" w:type="dxa"/>
            <w:gridSpan w:val="6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65268" w14:textId="77777777" w:rsidR="003609B6" w:rsidRPr="006E2FDE" w:rsidRDefault="00B11F5D">
            <w:pPr>
              <w:spacing w:after="240"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課程概述與目標：</w:t>
            </w:r>
          </w:p>
          <w:p w14:paraId="284455B8" w14:textId="77777777" w:rsidR="003609B6" w:rsidRPr="006E2FDE" w:rsidRDefault="00B11F5D">
            <w:pPr>
              <w:spacing w:line="288" w:lineRule="auto"/>
              <w:ind w:firstLine="480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企業競爭力源自於「比競爭對手更快、更有效解除客戶的痛苦</w:t>
            </w:r>
            <w:proofErr w:type="gramStart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煩惱，</w:t>
            </w:r>
            <w:proofErr w:type="gramEnd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創造價值」。中小型企業因為資源有限，想要高效提升競爭力，必須精</w:t>
            </w:r>
            <w:proofErr w:type="gramStart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準</w:t>
            </w:r>
            <w:proofErr w:type="gramEnd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活用、整合資源，使投入的資源，高效累積、轉化成為企業的競爭力。</w:t>
            </w:r>
          </w:p>
          <w:p w14:paraId="60994A16" w14:textId="77777777" w:rsidR="003609B6" w:rsidRPr="006E2FDE" w:rsidRDefault="00B11F5D">
            <w:pPr>
              <w:spacing w:line="288" w:lineRule="auto"/>
              <w:ind w:firstLine="480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中小型企業在轉變成中大型企業的過程中，往往會經過五個時期，包括籌備期、生存期、發展期、擴展期、成熟期。在過程中，往往會有許多經營面向的衝突，包括未來市場客層的選擇、產品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/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服務的發展方向、創始人跟團隊的認知落差、人才的取得與培育、財務規劃與資金募集、資源有效配置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......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等。</w:t>
            </w:r>
          </w:p>
          <w:p w14:paraId="73BC0A73" w14:textId="77777777" w:rsidR="003609B6" w:rsidRPr="006E2FDE" w:rsidRDefault="00B11F5D">
            <w:pPr>
              <w:spacing w:after="240" w:line="288" w:lineRule="auto"/>
              <w:ind w:firstLine="480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本課程透過企業成長五時期與經營四個面向的管理理念、方法與工具，針對企業所面臨的挑戰，進行</w:t>
            </w:r>
            <w:proofErr w:type="gramStart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釐</w:t>
            </w:r>
            <w:proofErr w:type="gramEnd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清與分析，提出創造高績效之策略性解決方案，協助企業進行組織調整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策略、人才、流程、產品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/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服務、財務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.</w:t>
            </w:r>
            <w:proofErr w:type="gramStart"/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.....</w:t>
            </w:r>
            <w:proofErr w:type="gramEnd"/>
            <w:r w:rsidRPr="006E2FDE">
              <w:rPr>
                <w:rFonts w:ascii="Times New Roman" w:eastAsia="標楷體" w:hAnsi="Times New Roman" w:cs="Times New Roman"/>
                <w:color w:val="auto"/>
              </w:rPr>
              <w:t>)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，以提升企業經營管理成效，降低營運風險、創造價值、提升企業競爭力。</w:t>
            </w:r>
          </w:p>
        </w:tc>
      </w:tr>
      <w:tr w:rsidR="00B11F5D" w:rsidRPr="006E2FDE" w14:paraId="77614265" w14:textId="77777777">
        <w:trPr>
          <w:trHeight w:val="2224"/>
          <w:jc w:val="center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A6E5D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教科書（請註明書名、作者、出版社、出版年等資訊）：</w:t>
            </w:r>
          </w:p>
        </w:tc>
        <w:tc>
          <w:tcPr>
            <w:tcW w:w="1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8A1BA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1.HD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：習慣領域－影響一生成敗的人性軟體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 (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時報出版，台北，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2009</w:t>
            </w:r>
            <w:proofErr w:type="gramStart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）</w:t>
            </w:r>
            <w:proofErr w:type="gramEnd"/>
            <w:r w:rsidRPr="006E2FDE">
              <w:rPr>
                <w:rFonts w:ascii="Times New Roman" w:eastAsia="標楷體" w:hAnsi="Times New Roman" w:cs="Times New Roman"/>
                <w:color w:val="auto"/>
              </w:rPr>
              <w:t>370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頁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本書為「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HD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：習慣領域－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IQ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和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EQ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沒談的人性軟體」修整後之再版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)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>2.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游伯龍、黃鴻順、陳彥曲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,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從決策到妙策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,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時報出版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, 2015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>3.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游伯龍、陳彥曲，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HD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習慣領域進階版：智慧電網全面啟動，時報出版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, 2012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>4. P. L. Yu, Habitual Domains and Forming Winning Strategies, NCTU Press, 2002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>5. P. L. Yu, Wonderful Solutions and Habitual Domains for Challenging Problems in Changeable Spaces: From Theoretical Framework to Applications, Springer Verlag, 2016</w:t>
            </w:r>
          </w:p>
        </w:tc>
      </w:tr>
    </w:tbl>
    <w:p w14:paraId="693D171F" w14:textId="77777777" w:rsidR="003609B6" w:rsidRPr="006E2FDE" w:rsidRDefault="003609B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tbl>
      <w:tblPr>
        <w:tblStyle w:val="TableNormal"/>
        <w:tblW w:w="13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15"/>
        <w:gridCol w:w="3570"/>
        <w:gridCol w:w="825"/>
        <w:gridCol w:w="900"/>
        <w:gridCol w:w="1000"/>
        <w:gridCol w:w="1000"/>
        <w:gridCol w:w="3000"/>
      </w:tblGrid>
      <w:tr w:rsidR="00B11F5D" w:rsidRPr="006E2FDE" w14:paraId="3130E1B9" w14:textId="77777777">
        <w:trPr>
          <w:trHeight w:val="364"/>
        </w:trPr>
        <w:tc>
          <w:tcPr>
            <w:tcW w:w="6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F8F8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課程大網</w:t>
            </w:r>
          </w:p>
        </w:tc>
        <w:tc>
          <w:tcPr>
            <w:tcW w:w="3725" w:type="dxa"/>
            <w:gridSpan w:val="4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33D5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分配時數</w:t>
            </w:r>
          </w:p>
        </w:tc>
        <w:tc>
          <w:tcPr>
            <w:tcW w:w="3000" w:type="dxa"/>
            <w:vMerge w:val="restart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683F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備註</w:t>
            </w:r>
          </w:p>
        </w:tc>
      </w:tr>
      <w:tr w:rsidR="00B11F5D" w:rsidRPr="006E2FDE" w14:paraId="110E4B7F" w14:textId="77777777">
        <w:trPr>
          <w:trHeight w:val="350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4FD2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單元主題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30E6C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內容綱要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049F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講授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3B3A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示範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7F663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習作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1765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其他</w:t>
            </w:r>
          </w:p>
        </w:tc>
        <w:tc>
          <w:tcPr>
            <w:tcW w:w="3000" w:type="dxa"/>
            <w:vMerge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</w:tcPr>
          <w:p w14:paraId="6CB25907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11F5D" w:rsidRPr="006E2FDE" w14:paraId="6ABE97A4" w14:textId="77777777">
        <w:trPr>
          <w:trHeight w:val="2050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F49E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1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企業成長五時期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F350E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1.1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籌備期、生存期、發展期、擴展期、成熟期</w:t>
            </w:r>
          </w:p>
          <w:p w14:paraId="7543240A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1.2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各時期的高效成長策略</w:t>
            </w:r>
          </w:p>
          <w:p w14:paraId="2BCA7830" w14:textId="1B46B590" w:rsidR="003609B6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1.3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各時期的經營管理重點與工具</w:t>
            </w:r>
          </w:p>
          <w:p w14:paraId="02B00E1D" w14:textId="0B9AD96F" w:rsidR="004637C9" w:rsidRPr="004637C9" w:rsidRDefault="004637C9">
            <w:pPr>
              <w:spacing w:line="240" w:lineRule="auto"/>
              <w:jc w:val="left"/>
              <w:rPr>
                <w:rFonts w:ascii="Times New Roman" w:eastAsia="標楷體" w:hAnsi="Times New Roman" w:cs="Times New Roman" w:hint="eastAsia"/>
                <w:color w:val="FF0000"/>
                <w:shd w:val="clear" w:color="auto" w:fill="FFFFFF"/>
              </w:rPr>
            </w:pPr>
            <w:r w:rsidRPr="004637C9">
              <w:rPr>
                <w:rFonts w:ascii="Times New Roman" w:eastAsia="標楷體" w:hAnsi="Times New Roman" w:cs="Times New Roman" w:hint="eastAsia"/>
                <w:color w:val="FF0000"/>
                <w:shd w:val="clear" w:color="auto" w:fill="FFFFFF"/>
                <w:lang w:val="zh-TW"/>
              </w:rPr>
              <w:t>1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  <w:t>.4</w:t>
            </w:r>
            <w:r w:rsidRPr="004637C9">
              <w:rPr>
                <w:rFonts w:ascii="Times New Roman" w:eastAsia="標楷體" w:hAnsi="Times New Roman" w:cs="Times New Roman" w:hint="eastAsia"/>
                <w:color w:val="FF0000"/>
                <w:shd w:val="clear" w:color="auto" w:fill="FFFFFF"/>
                <w:lang w:val="zh-TW"/>
              </w:rPr>
              <w:t xml:space="preserve"> </w:t>
            </w:r>
            <w:r w:rsidRPr="004637C9">
              <w:rPr>
                <w:rFonts w:ascii="Times New Roman" w:eastAsia="標楷體" w:hAnsi="Times New Roman" w:cs="Times New Roman" w:hint="eastAsia"/>
                <w:color w:val="FF0000"/>
                <w:shd w:val="clear" w:color="auto" w:fill="FFFFFF"/>
                <w:lang w:val="zh-TW"/>
              </w:rPr>
              <w:t>商業模式的精進</w:t>
            </w:r>
          </w:p>
          <w:p w14:paraId="020C6AE5" w14:textId="4E942E3F" w:rsidR="003609B6" w:rsidRPr="004637C9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</w:pP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>1.</w:t>
            </w:r>
            <w:r w:rsidR="004637C9"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>5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  <w:t>企業指數型成長</w:t>
            </w:r>
          </w:p>
          <w:p w14:paraId="11719A4A" w14:textId="0AD7560A" w:rsidR="004637C9" w:rsidRPr="006E2FDE" w:rsidRDefault="004637C9">
            <w:pPr>
              <w:spacing w:line="240" w:lineRule="auto"/>
              <w:jc w:val="left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BBFC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1.5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87BD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44BA7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1.5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3862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E4F7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11F5D" w:rsidRPr="006E2FDE" w14:paraId="568E9592" w14:textId="77777777">
        <w:trPr>
          <w:trHeight w:val="1370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6C76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2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企業核心流程全壘打</w:t>
            </w:r>
          </w:p>
          <w:p w14:paraId="3969A457" w14:textId="77777777" w:rsidR="003609B6" w:rsidRPr="006E2FDE" w:rsidRDefault="003609B6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C267D" w14:textId="7909DD20" w:rsidR="004637C9" w:rsidRPr="004637C9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</w:pP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>2.1</w:t>
            </w:r>
            <w:r w:rsidR="004637C9" w:rsidRPr="004637C9">
              <w:rPr>
                <w:rFonts w:ascii="Times New Roman" w:eastAsia="標楷體" w:hAnsi="Times New Roman" w:cs="Times New Roman" w:hint="eastAsia"/>
                <w:color w:val="FF0000"/>
                <w:shd w:val="clear" w:color="auto" w:fill="FFFFFF"/>
              </w:rPr>
              <w:t xml:space="preserve"> </w:t>
            </w:r>
            <w:r w:rsidR="004637C9" w:rsidRPr="004637C9">
              <w:rPr>
                <w:rFonts w:ascii="Times New Roman" w:eastAsia="標楷體" w:hAnsi="Times New Roman" w:cs="Times New Roman" w:hint="eastAsia"/>
                <w:color w:val="FF0000"/>
                <w:shd w:val="clear" w:color="auto" w:fill="FFFFFF"/>
              </w:rPr>
              <w:t>高績效經營管理的成功方程式</w:t>
            </w:r>
          </w:p>
          <w:p w14:paraId="24D25D4C" w14:textId="3F9BD24D" w:rsidR="003609B6" w:rsidRPr="004637C9" w:rsidRDefault="004637C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</w:pPr>
            <w:r w:rsidRPr="004637C9">
              <w:rPr>
                <w:rFonts w:ascii="Times New Roman" w:eastAsia="標楷體" w:hAnsi="Times New Roman" w:cs="Times New Roman" w:hint="eastAsia"/>
                <w:color w:val="FF0000"/>
                <w:shd w:val="clear" w:color="auto" w:fill="FFFFFF"/>
              </w:rPr>
              <w:t>2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>.2</w:t>
            </w:r>
            <w:r w:rsidR="00B11F5D"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 xml:space="preserve"> 0~1</w:t>
            </w:r>
            <w:r w:rsidR="00B11F5D"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  <w:t>壘</w:t>
            </w:r>
            <w:r w:rsidR="00B11F5D"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 xml:space="preserve">: </w:t>
            </w:r>
            <w:r w:rsidR="00B11F5D"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  <w:t>產業分析</w:t>
            </w:r>
          </w:p>
          <w:p w14:paraId="3551EF39" w14:textId="381978E5" w:rsidR="003609B6" w:rsidRPr="004637C9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</w:pP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>2.</w:t>
            </w:r>
            <w:r w:rsidR="004637C9"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>3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 xml:space="preserve"> 1~2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  <w:t>壘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 xml:space="preserve">: </w:t>
            </w:r>
            <w:r w:rsidR="00FD6DAF"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  <w:t>高效行銷</w:t>
            </w:r>
          </w:p>
          <w:p w14:paraId="2353238B" w14:textId="5BE22A52" w:rsidR="003609B6" w:rsidRPr="004637C9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</w:pP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>2.</w:t>
            </w:r>
            <w:r w:rsidR="004637C9"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>4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 xml:space="preserve"> 2~3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  <w:t>壘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 xml:space="preserve">: </w:t>
            </w:r>
            <w:proofErr w:type="gramStart"/>
            <w:r w:rsidR="00FD6DAF"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  <w:t>高效搶單</w:t>
            </w:r>
            <w:proofErr w:type="gramEnd"/>
          </w:p>
          <w:p w14:paraId="47874A10" w14:textId="236693A5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>2.</w:t>
            </w:r>
            <w:r w:rsidR="004637C9"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>5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 xml:space="preserve"> 3~4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  <w:t>壘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 xml:space="preserve">: 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  <w:t>高效行單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14FD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0B31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5C79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16997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CBAD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11F5D" w:rsidRPr="006E2FDE" w14:paraId="6A0FD4A5" w14:textId="77777777">
        <w:trPr>
          <w:trHeight w:val="2390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E731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3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企業人才力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E24E3" w14:textId="6FDBFA69" w:rsidR="003609B6" w:rsidRPr="004637C9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</w:pP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 xml:space="preserve">3.1 </w:t>
            </w:r>
            <w:r w:rsidRPr="004637C9">
              <w:rPr>
                <w:rFonts w:ascii="Times New Roman" w:eastAsia="標楷體" w:hAnsi="Times New Roman" w:cs="Times New Roman"/>
                <w:color w:val="FF0000"/>
                <w:shd w:val="clear" w:color="auto" w:fill="FFFFFF"/>
                <w:lang w:val="zh-TW"/>
              </w:rPr>
              <w:t>人才</w:t>
            </w:r>
            <w:r w:rsidR="004637C9" w:rsidRPr="004637C9">
              <w:rPr>
                <w:rFonts w:ascii="Times New Roman" w:eastAsia="標楷體" w:hAnsi="Times New Roman" w:cs="Times New Roman" w:hint="eastAsia"/>
                <w:color w:val="FF0000"/>
                <w:shd w:val="clear" w:color="auto" w:fill="FFFFFF"/>
                <w:lang w:val="zh-TW"/>
              </w:rPr>
              <w:t>發展四層次</w:t>
            </w:r>
          </w:p>
          <w:p w14:paraId="0AA9C307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3.2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經營層、主管層、執行層的綜效</w:t>
            </w:r>
          </w:p>
          <w:p w14:paraId="2DAB9D9D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3.3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培育人才的高效方法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: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習慣領域</w:t>
            </w:r>
          </w:p>
          <w:p w14:paraId="2BCA611C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3.4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職權、職責、職務、職能</w:t>
            </w:r>
          </w:p>
          <w:p w14:paraId="0DFC372E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3.5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人才指數型成長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A88B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A541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7066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E553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8D20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11F5D" w:rsidRPr="006E2FDE" w14:paraId="4777CE95" w14:textId="77777777">
        <w:trPr>
          <w:trHeight w:val="2050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DBDD7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lastRenderedPageBreak/>
              <w:t xml:space="preserve">4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企業因應新科技的衝擊</w:t>
            </w:r>
          </w:p>
          <w:p w14:paraId="3348E3A2" w14:textId="77777777" w:rsidR="003609B6" w:rsidRPr="006E2FDE" w:rsidRDefault="003609B6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8184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4.1 AI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人工智慧、智慧製造、智慧醫療、</w:t>
            </w:r>
            <w:proofErr w:type="gramStart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物聯網</w:t>
            </w:r>
            <w:proofErr w:type="gramEnd"/>
          </w:p>
          <w:p w14:paraId="67E25940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4.2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大數據、雲端、新零售、新經濟</w:t>
            </w:r>
          </w:p>
          <w:p w14:paraId="7186E435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4.3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數位轉型的階段、流程、方法、工具及人才培育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BE09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057FA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038F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7ACF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4CB0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11F5D" w:rsidRPr="006E2FDE" w14:paraId="2288DD13" w14:textId="77777777">
        <w:trPr>
          <w:trHeight w:val="4104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1161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5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團隊智慧的提升與累積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E162" w14:textId="34E850AC" w:rsidR="004637C9" w:rsidRPr="004637C9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FF0000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依學員的需求，彈性增加以下的主題：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>1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企業經營九面向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</w:r>
            <w:r w:rsidR="004637C9" w:rsidRPr="004637C9">
              <w:rPr>
                <w:rFonts w:ascii="Times New Roman" w:eastAsia="標楷體" w:hAnsi="Times New Roman" w:cs="Times New Roman" w:hint="eastAsia"/>
                <w:color w:val="FF0000"/>
              </w:rPr>
              <w:t xml:space="preserve">2 </w:t>
            </w:r>
            <w:r w:rsidR="004637C9" w:rsidRPr="004637C9">
              <w:rPr>
                <w:rFonts w:ascii="Times New Roman" w:eastAsia="標楷體" w:hAnsi="Times New Roman" w:cs="Times New Roman" w:hint="eastAsia"/>
                <w:color w:val="FF0000"/>
              </w:rPr>
              <w:t>高績效組織的縱向管理、橫向管理</w:t>
            </w:r>
          </w:p>
          <w:p w14:paraId="3B65A4FC" w14:textId="08036535" w:rsidR="004637C9" w:rsidRPr="004637C9" w:rsidRDefault="004637C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FF0000"/>
                <w:lang w:val="zh-TW"/>
              </w:rPr>
            </w:pPr>
            <w:r w:rsidRPr="004637C9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="00B11F5D" w:rsidRPr="004637C9">
              <w:rPr>
                <w:rFonts w:ascii="Times New Roman" w:eastAsia="標楷體" w:hAnsi="Times New Roman" w:cs="Times New Roman"/>
                <w:color w:val="FF0000"/>
                <w:lang w:val="zh-TW"/>
              </w:rPr>
              <w:t xml:space="preserve"> </w:t>
            </w:r>
            <w:r w:rsidRPr="004637C9">
              <w:rPr>
                <w:rFonts w:ascii="Times New Roman" w:eastAsia="標楷體" w:hAnsi="Times New Roman" w:cs="Times New Roman" w:hint="eastAsia"/>
                <w:color w:val="FF0000"/>
                <w:lang w:val="zh-TW"/>
              </w:rPr>
              <w:t>高效的目標管理</w:t>
            </w:r>
            <w:r w:rsidRPr="004637C9">
              <w:rPr>
                <w:rFonts w:ascii="Times New Roman" w:eastAsia="標楷體" w:hAnsi="Times New Roman" w:cs="Times New Roman" w:hint="eastAsia"/>
                <w:color w:val="FF0000"/>
              </w:rPr>
              <w:t>、</w:t>
            </w:r>
            <w:r w:rsidRPr="004637C9">
              <w:rPr>
                <w:rFonts w:ascii="Times New Roman" w:eastAsia="標楷體" w:hAnsi="Times New Roman" w:cs="Times New Roman" w:hint="eastAsia"/>
                <w:color w:val="FF0000"/>
              </w:rPr>
              <w:t>專案管理</w:t>
            </w:r>
          </w:p>
          <w:p w14:paraId="73D09B9D" w14:textId="6B83BB41" w:rsidR="003609B6" w:rsidRPr="006E2FDE" w:rsidRDefault="004637C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4637C9">
              <w:rPr>
                <w:rFonts w:ascii="Times New Roman" w:eastAsia="標楷體" w:hAnsi="Times New Roman" w:cs="Times New Roman"/>
                <w:color w:val="FF0000"/>
                <w:lang w:val="zh-TW"/>
              </w:rPr>
              <w:t>4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系統性思考的實務操作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br/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（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t>MBO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、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t>KPI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、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t>OKR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、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t>BSC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）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4637C9"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概念性思考的實務操作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4637C9">
              <w:rPr>
                <w:rFonts w:ascii="Times New Roman" w:eastAsia="標楷體" w:hAnsi="Times New Roman" w:cs="Times New Roman"/>
                <w:color w:val="FF0000"/>
              </w:rPr>
              <w:t>6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團隊共識、聚焦管理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br/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（目標、任務、執行共識）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4637C9">
              <w:rPr>
                <w:rFonts w:ascii="Times New Roman" w:eastAsia="標楷體" w:hAnsi="Times New Roman" w:cs="Times New Roman"/>
                <w:color w:val="FF0000"/>
              </w:rPr>
              <w:t>7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創業、價值主張、創新動態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br/>
              <w:t xml:space="preserve">  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學（創新實作）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4637C9">
              <w:rPr>
                <w:rFonts w:ascii="Times New Roman" w:eastAsia="標楷體" w:hAnsi="Times New Roman" w:cs="Times New Roman"/>
                <w:color w:val="FF0000"/>
              </w:rPr>
              <w:t>8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二代接班的流程、步驟、方法</w:t>
            </w:r>
          </w:p>
          <w:p w14:paraId="24EECD06" w14:textId="7F59295E" w:rsidR="003609B6" w:rsidRPr="006E2FDE" w:rsidRDefault="004637C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4637C9">
              <w:rPr>
                <w:rFonts w:ascii="Times New Roman" w:eastAsia="標楷體" w:hAnsi="Times New Roman" w:cs="Times New Roman"/>
                <w:color w:val="FF0000"/>
              </w:rPr>
              <w:t>9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="00B11F5D"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企業經營實務探討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C23BC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3EB38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8A01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06DA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C5C5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14:paraId="7795F8D1" w14:textId="77777777" w:rsidR="00096756" w:rsidRDefault="0009675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p w14:paraId="4F775EBD" w14:textId="77777777" w:rsidR="00096756" w:rsidRDefault="0009675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p w14:paraId="317A5965" w14:textId="77777777" w:rsidR="00096756" w:rsidRPr="006E2FDE" w:rsidRDefault="0009675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tbl>
      <w:tblPr>
        <w:tblStyle w:val="TableNormal"/>
        <w:tblW w:w="13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00"/>
        <w:gridCol w:w="5000"/>
        <w:gridCol w:w="2000"/>
        <w:gridCol w:w="4000"/>
      </w:tblGrid>
      <w:tr w:rsidR="00B11F5D" w:rsidRPr="006E2FDE" w14:paraId="2C95E151" w14:textId="77777777">
        <w:trPr>
          <w:trHeight w:val="364"/>
        </w:trPr>
        <w:tc>
          <w:tcPr>
            <w:tcW w:w="13000" w:type="dxa"/>
            <w:gridSpan w:val="4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43E46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教學要點概述：</w:t>
            </w:r>
          </w:p>
        </w:tc>
      </w:tr>
      <w:tr w:rsidR="00B11F5D" w:rsidRPr="006E2FDE" w14:paraId="31773C53" w14:textId="77777777">
        <w:trPr>
          <w:trHeight w:val="1650"/>
        </w:trPr>
        <w:tc>
          <w:tcPr>
            <w:tcW w:w="13000" w:type="dxa"/>
            <w:gridSpan w:val="4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AAC2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lastRenderedPageBreak/>
              <w:t>1.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學期作業、考試、評量</w:t>
            </w:r>
          </w:p>
          <w:p w14:paraId="2E308F26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參與、創意、上台報告、書面報告</w:t>
            </w:r>
          </w:p>
          <w:p w14:paraId="17F060E6" w14:textId="77777777" w:rsidR="003609B6" w:rsidRPr="006E2FDE" w:rsidRDefault="003609B6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</w:p>
          <w:p w14:paraId="7BC224F4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2.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教學方法及教學相關配合事項（如助教、網站或圖書及資料庫等）</w:t>
            </w:r>
          </w:p>
          <w:p w14:paraId="621096D4" w14:textId="77777777" w:rsidR="003609B6" w:rsidRPr="006E2FDE" w:rsidRDefault="00FD6DAF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上課、討論、報告、數位學習平台</w:t>
            </w:r>
            <w:r w:rsidRPr="006E2FDE">
              <w:rPr>
                <w:rFonts w:ascii="Times New Roman" w:eastAsia="標楷體" w:hAnsi="Times New Roman" w:cs="Times New Roman"/>
                <w:color w:val="0070C0"/>
                <w:u w:val="single" w:color="0070C0"/>
                <w:lang w:val="zh-TW"/>
              </w:rPr>
              <w:t>https://hpm.ipedia.tw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(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複習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)</w:t>
            </w:r>
          </w:p>
        </w:tc>
      </w:tr>
      <w:tr w:rsidR="00B11F5D" w:rsidRPr="006E2FDE" w14:paraId="21724475" w14:textId="77777777">
        <w:trPr>
          <w:trHeight w:val="35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18EA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師生晤談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29DE7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排定時間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790A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地點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5178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聯絡方式</w:t>
            </w:r>
          </w:p>
        </w:tc>
      </w:tr>
      <w:tr w:rsidR="003609B6" w:rsidRPr="006E2FDE" w14:paraId="3628083E" w14:textId="77777777">
        <w:trPr>
          <w:trHeight w:val="364"/>
        </w:trPr>
        <w:tc>
          <w:tcPr>
            <w:tcW w:w="2000" w:type="dxa"/>
            <w:vMerge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</w:tcPr>
          <w:p w14:paraId="37B90A81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D413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請先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email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預約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8B53F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DEB49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kantian@nycu.edu.tw</w:t>
            </w:r>
          </w:p>
        </w:tc>
      </w:tr>
    </w:tbl>
    <w:p w14:paraId="38D0F942" w14:textId="77777777" w:rsidR="003609B6" w:rsidRDefault="003609B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p w14:paraId="43F71E6F" w14:textId="77777777" w:rsidR="00096756" w:rsidRDefault="0009675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p w14:paraId="7A5770C5" w14:textId="77777777" w:rsidR="00096756" w:rsidRDefault="0009675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p w14:paraId="078E3DB7" w14:textId="77777777" w:rsidR="00096756" w:rsidRDefault="0009675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p w14:paraId="76E24A9A" w14:textId="77777777" w:rsidR="00096756" w:rsidRDefault="0009675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p w14:paraId="6254EDD4" w14:textId="77777777" w:rsidR="00096756" w:rsidRPr="006E2FDE" w:rsidRDefault="0009675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tbl>
      <w:tblPr>
        <w:tblStyle w:val="TableNormal"/>
        <w:tblW w:w="10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2"/>
        <w:gridCol w:w="2168"/>
        <w:gridCol w:w="7000"/>
      </w:tblGrid>
      <w:tr w:rsidR="00B11F5D" w:rsidRPr="006E2FDE" w14:paraId="5815F4D8" w14:textId="77777777">
        <w:trPr>
          <w:trHeight w:val="364"/>
        </w:trPr>
        <w:tc>
          <w:tcPr>
            <w:tcW w:w="1000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4CFD4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每週進度表</w:t>
            </w:r>
          </w:p>
        </w:tc>
      </w:tr>
      <w:tr w:rsidR="00B11F5D" w:rsidRPr="006E2FDE" w14:paraId="20754138" w14:textId="77777777">
        <w:trPr>
          <w:trHeight w:val="35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EF3FC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週</w:t>
            </w:r>
            <w:proofErr w:type="gramEnd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次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2EB82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上課日期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18F5A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課程進度、內容、主題</w:t>
            </w:r>
          </w:p>
        </w:tc>
      </w:tr>
      <w:tr w:rsidR="00B11F5D" w:rsidRPr="006E2FDE" w14:paraId="2D8EF6C8" w14:textId="77777777">
        <w:trPr>
          <w:trHeight w:val="4496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CCCC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8494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EECC5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主題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1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：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企業成長五時期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br/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內容與進度：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br/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1.1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籌備期、生存期、發展期、擴展期、成熟期</w:t>
            </w:r>
          </w:p>
          <w:p w14:paraId="3E8E1496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1.2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各時期的高效成長策略</w:t>
            </w:r>
          </w:p>
          <w:p w14:paraId="6BB8A238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1.3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各時期的經營管理重點與工具</w:t>
            </w:r>
          </w:p>
          <w:p w14:paraId="2534357B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1.4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企業指數型成長</w:t>
            </w:r>
          </w:p>
          <w:p w14:paraId="5EF48254" w14:textId="77777777" w:rsidR="003609B6" w:rsidRPr="006E2FDE" w:rsidRDefault="003609B6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</w:pPr>
          </w:p>
          <w:p w14:paraId="6538B7C4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主題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2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：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企業核心流程全壘打</w:t>
            </w:r>
          </w:p>
          <w:p w14:paraId="4BEEBF95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內容與進度：</w:t>
            </w:r>
          </w:p>
          <w:p w14:paraId="213887C1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>2.1 0~1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壘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: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產業分析</w:t>
            </w:r>
          </w:p>
          <w:p w14:paraId="10BCBBAD" w14:textId="77777777" w:rsidR="00FD6DAF" w:rsidRPr="006E2FDE" w:rsidRDefault="00FD6DAF" w:rsidP="00FD6DAF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>2.2 1~2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壘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: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高效行銷</w:t>
            </w:r>
          </w:p>
          <w:p w14:paraId="3378970B" w14:textId="77777777" w:rsidR="00FD6DAF" w:rsidRPr="006E2FDE" w:rsidRDefault="00FD6DAF" w:rsidP="00FD6DAF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>2.3 2~3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壘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: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高效搶單</w:t>
            </w:r>
          </w:p>
          <w:p w14:paraId="34474781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>2.4 3~4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壘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: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高效行單</w:t>
            </w:r>
          </w:p>
        </w:tc>
      </w:tr>
      <w:tr w:rsidR="00B11F5D" w:rsidRPr="006E2FDE" w14:paraId="40823902" w14:textId="77777777">
        <w:trPr>
          <w:trHeight w:val="46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E251B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5D78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88436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主題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3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：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企業人才力</w:t>
            </w:r>
          </w:p>
          <w:p w14:paraId="4684C743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內容與進度：</w:t>
            </w:r>
          </w:p>
          <w:p w14:paraId="6EDD1F4B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3.1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別讓人才成為企業成長的痛</w:t>
            </w:r>
          </w:p>
          <w:p w14:paraId="340664CD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3.2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經營層、主管層、執行層的綜效</w:t>
            </w:r>
          </w:p>
          <w:p w14:paraId="7455DD51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3.3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培育人才的高效方法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: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習慣領域</w:t>
            </w:r>
          </w:p>
          <w:p w14:paraId="1D186C42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3.4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職權、職責、職務、職能</w:t>
            </w:r>
          </w:p>
          <w:p w14:paraId="4CFDCEF5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</w:rPr>
              <w:t xml:space="preserve">3.5 </w:t>
            </w:r>
            <w:r w:rsidRPr="006E2FDE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val="zh-TW"/>
              </w:rPr>
              <w:t>人才指數型成長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br/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br/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主題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4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：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企業因應新科技的衝擊</w:t>
            </w:r>
          </w:p>
          <w:p w14:paraId="3FF96293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內容與進度：</w:t>
            </w:r>
          </w:p>
          <w:p w14:paraId="5D476583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4.1 AI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人工智慧、智慧製造、智慧醫療、</w:t>
            </w:r>
            <w:proofErr w:type="gramStart"/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物聯網</w:t>
            </w:r>
            <w:proofErr w:type="gramEnd"/>
          </w:p>
          <w:p w14:paraId="170E30B4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4.2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大數據、雲端、新零售、新經濟</w:t>
            </w:r>
          </w:p>
          <w:p w14:paraId="166F2244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4.3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數位轉型的階段、流程、方法、工具及人才培育</w:t>
            </w:r>
          </w:p>
        </w:tc>
      </w:tr>
      <w:tr w:rsidR="00B11F5D" w:rsidRPr="006E2FDE" w14:paraId="64DDE455" w14:textId="77777777">
        <w:trPr>
          <w:trHeight w:val="575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1E54E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6CA89" w14:textId="77777777" w:rsidR="003609B6" w:rsidRPr="006E2FDE" w:rsidRDefault="003609B6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4C482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主題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5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：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團隊智慧的提升與累積</w:t>
            </w:r>
          </w:p>
          <w:p w14:paraId="151387CB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內容與進度：</w:t>
            </w:r>
          </w:p>
          <w:p w14:paraId="294D450C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依學員的需求，彈性增加以下的主題：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>1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企業經營九面向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>2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系統性思考的實務操作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（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MBO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、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KPI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、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OKR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、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>BSC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）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>3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概念性思考的實務操作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>4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團隊共識、聚焦管理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（目標、任務、執行共識）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>5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創業、價值主張、創新動態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 xml:space="preserve"> 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學（創新實作）</w:t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br/>
              <w:t>6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二代接班的流程、步驟、方法</w:t>
            </w:r>
          </w:p>
          <w:p w14:paraId="145EB015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7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 xml:space="preserve">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企業經營實務探討</w:t>
            </w:r>
          </w:p>
          <w:p w14:paraId="0F95DD7D" w14:textId="77777777" w:rsidR="003609B6" w:rsidRPr="006E2FDE" w:rsidRDefault="003609B6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</w:p>
          <w:p w14:paraId="035EBF4F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主題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6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  <w:lang w:val="zh-TW"/>
              </w:rPr>
              <w:t>：個案探討</w:t>
            </w:r>
            <w:r w:rsidRPr="006E2FDE">
              <w:rPr>
                <w:rFonts w:ascii="Times New Roman" w:eastAsia="標楷體" w:hAnsi="Times New Roman" w:cs="Times New Roman"/>
                <w:b/>
                <w:bCs/>
                <w:color w:val="auto"/>
              </w:rPr>
              <w:br/>
            </w: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6.1 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邀請陽明交通大學師長參與課程，針對學員的個案，進行實務探討與可行性之評估</w:t>
            </w:r>
          </w:p>
        </w:tc>
      </w:tr>
    </w:tbl>
    <w:p w14:paraId="2F8D7848" w14:textId="77777777" w:rsidR="003609B6" w:rsidRPr="006E2FDE" w:rsidRDefault="003609B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p w14:paraId="614C2F1B" w14:textId="77777777" w:rsidR="003609B6" w:rsidRPr="006E2FDE" w:rsidRDefault="003609B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p w14:paraId="42B80D8E" w14:textId="77777777" w:rsidR="003609B6" w:rsidRPr="006E2FDE" w:rsidRDefault="003609B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tbl>
      <w:tblPr>
        <w:tblStyle w:val="TableNormal"/>
        <w:tblW w:w="13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00"/>
      </w:tblGrid>
      <w:tr w:rsidR="00B11F5D" w:rsidRPr="006E2FDE" w14:paraId="7B70BCB4" w14:textId="77777777">
        <w:trPr>
          <w:trHeight w:val="34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CC5E5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備註：</w:t>
            </w:r>
          </w:p>
        </w:tc>
      </w:tr>
      <w:tr w:rsidR="00B11F5D" w:rsidRPr="006E2FDE" w14:paraId="4E9BD03F" w14:textId="77777777">
        <w:trPr>
          <w:trHeight w:val="34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42F6A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1.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請遵守智慧財產權觀念及勿使用不法影印教科書。</w:t>
            </w:r>
          </w:p>
        </w:tc>
      </w:tr>
      <w:tr w:rsidR="00B11F5D" w:rsidRPr="006E2FDE" w14:paraId="31F30571" w14:textId="77777777">
        <w:trPr>
          <w:trHeight w:val="34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D974" w14:textId="77777777" w:rsidR="003609B6" w:rsidRPr="006E2FDE" w:rsidRDefault="00B11F5D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>2.</w:t>
            </w:r>
            <w:r w:rsidRPr="006E2FDE">
              <w:rPr>
                <w:rFonts w:ascii="Times New Roman" w:eastAsia="標楷體" w:hAnsi="Times New Roman" w:cs="Times New Roman"/>
                <w:color w:val="auto"/>
                <w:lang w:val="zh-TW"/>
              </w:rPr>
              <w:t>其他欄包含參訪、專題演講等活動。</w:t>
            </w:r>
          </w:p>
        </w:tc>
      </w:tr>
      <w:tr w:rsidR="00B11F5D" w:rsidRPr="006E2FDE" w14:paraId="3D1F7DC9" w14:textId="77777777">
        <w:trPr>
          <w:trHeight w:val="28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92C5" w14:textId="77777777" w:rsidR="003609B6" w:rsidRPr="006E2FDE" w:rsidRDefault="00B11F5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E2FDE">
              <w:rPr>
                <w:rFonts w:ascii="Times New Roman" w:eastAsia="標楷體" w:hAnsi="Times New Roman" w:cs="Times New Roman"/>
                <w:color w:val="auto"/>
              </w:rPr>
              <w:t xml:space="preserve"> Copyright©2019 National Chiao Tung University ALL RIGHTS RESERVED.</w:t>
            </w:r>
          </w:p>
        </w:tc>
      </w:tr>
    </w:tbl>
    <w:p w14:paraId="7C296946" w14:textId="77777777" w:rsidR="003609B6" w:rsidRPr="006E2FDE" w:rsidRDefault="003609B6">
      <w:pPr>
        <w:widowControl w:val="0"/>
        <w:spacing w:line="240" w:lineRule="auto"/>
        <w:jc w:val="left"/>
        <w:rPr>
          <w:rFonts w:ascii="Times New Roman" w:eastAsia="標楷體" w:hAnsi="Times New Roman" w:cs="Times New Roman"/>
          <w:color w:val="auto"/>
        </w:rPr>
      </w:pPr>
    </w:p>
    <w:sectPr w:rsidR="003609B6" w:rsidRPr="006E2FDE">
      <w:headerReference w:type="default" r:id="rId6"/>
      <w:footerReference w:type="default" r:id="rId7"/>
      <w:pgSz w:w="15840" w:h="12240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6FB6" w14:textId="77777777" w:rsidR="00C717FC" w:rsidRDefault="00C717FC">
      <w:pPr>
        <w:spacing w:line="240" w:lineRule="auto"/>
      </w:pPr>
      <w:r>
        <w:separator/>
      </w:r>
    </w:p>
  </w:endnote>
  <w:endnote w:type="continuationSeparator" w:id="0">
    <w:p w14:paraId="5894967B" w14:textId="77777777" w:rsidR="00C717FC" w:rsidRDefault="00C71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10D9" w14:textId="77777777" w:rsidR="003609B6" w:rsidRDefault="003609B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60FB" w14:textId="77777777" w:rsidR="00C717FC" w:rsidRDefault="00C717FC">
      <w:pPr>
        <w:spacing w:line="240" w:lineRule="auto"/>
      </w:pPr>
      <w:r>
        <w:separator/>
      </w:r>
    </w:p>
  </w:footnote>
  <w:footnote w:type="continuationSeparator" w:id="0">
    <w:p w14:paraId="65CD9C6B" w14:textId="77777777" w:rsidR="00C717FC" w:rsidRDefault="00C71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1D7E" w14:textId="77777777" w:rsidR="003609B6" w:rsidRDefault="003609B6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B6"/>
    <w:rsid w:val="00096756"/>
    <w:rsid w:val="001848BA"/>
    <w:rsid w:val="001E26F5"/>
    <w:rsid w:val="00240294"/>
    <w:rsid w:val="002A6F98"/>
    <w:rsid w:val="0032657E"/>
    <w:rsid w:val="003609B6"/>
    <w:rsid w:val="003C67E9"/>
    <w:rsid w:val="004637C9"/>
    <w:rsid w:val="006B15C8"/>
    <w:rsid w:val="006E2FDE"/>
    <w:rsid w:val="00984490"/>
    <w:rsid w:val="00B11F5D"/>
    <w:rsid w:val="00C717FC"/>
    <w:rsid w:val="00C75A55"/>
    <w:rsid w:val="00CC4654"/>
    <w:rsid w:val="00D72CCB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6959"/>
  <w15:docId w15:val="{8298165D-DC5E-4E64-8DBE-7D187A84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285" w:lineRule="auto"/>
      <w:jc w:val="both"/>
    </w:pPr>
    <w:rPr>
      <w:rFonts w:ascii="微軟正黑體" w:eastAsia="微軟正黑體" w:hAnsi="微軟正黑體" w:cs="微軟正黑體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ANNECHEN</dc:creator>
  <cp:lastModifiedBy>Christine YEN</cp:lastModifiedBy>
  <cp:revision>4</cp:revision>
  <dcterms:created xsi:type="dcterms:W3CDTF">2025-03-10T03:09:00Z</dcterms:created>
  <dcterms:modified xsi:type="dcterms:W3CDTF">2025-03-21T08:08:00Z</dcterms:modified>
</cp:coreProperties>
</file>