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9B6" w:rsidRPr="00B11F5D" w:rsidRDefault="00B11F5D">
      <w:pPr>
        <w:spacing w:line="240" w:lineRule="auto"/>
        <w:jc w:val="center"/>
        <w:rPr>
          <w:color w:val="auto"/>
        </w:rPr>
      </w:pPr>
      <w:r w:rsidRPr="00B11F5D">
        <w:rPr>
          <w:color w:val="auto"/>
        </w:rPr>
        <w:t>111</w:t>
      </w:r>
      <w:r w:rsidRPr="00B11F5D">
        <w:rPr>
          <w:rFonts w:ascii="Arial Unicode MS" w:eastAsia="Arial Unicode MS" w:hAnsi="Arial Unicode MS" w:cs="Arial Unicode MS" w:hint="eastAsia"/>
          <w:color w:val="auto"/>
          <w:lang w:val="zh-TW"/>
        </w:rPr>
        <w:t>學年度</w:t>
      </w:r>
      <w:r w:rsidRPr="00B11F5D">
        <w:rPr>
          <w:color w:val="auto"/>
        </w:rPr>
        <w:t xml:space="preserve"> </w:t>
      </w:r>
      <w:r w:rsidRPr="00B11F5D">
        <w:rPr>
          <w:rFonts w:ascii="Arial Unicode MS" w:eastAsia="Arial Unicode MS" w:hAnsi="Arial Unicode MS" w:cs="Arial Unicode MS" w:hint="eastAsia"/>
          <w:color w:val="auto"/>
          <w:lang w:val="zh-TW"/>
        </w:rPr>
        <w:t>第</w:t>
      </w:r>
      <w:r w:rsidRPr="00B11F5D">
        <w:rPr>
          <w:color w:val="auto"/>
        </w:rPr>
        <w:t>1</w:t>
      </w:r>
      <w:r w:rsidRPr="00B11F5D">
        <w:rPr>
          <w:rFonts w:ascii="Arial Unicode MS" w:eastAsia="Arial Unicode MS" w:hAnsi="Arial Unicode MS" w:cs="Arial Unicode MS" w:hint="eastAsia"/>
          <w:color w:val="auto"/>
          <w:lang w:val="zh-TW"/>
        </w:rPr>
        <w:t>學期</w:t>
      </w:r>
      <w:r w:rsidRPr="00B11F5D">
        <w:rPr>
          <w:color w:val="auto"/>
        </w:rPr>
        <w:t xml:space="preserve"> </w:t>
      </w:r>
      <w:r w:rsidRPr="00B11F5D">
        <w:rPr>
          <w:rFonts w:ascii="Arial Unicode MS" w:eastAsia="Arial Unicode MS" w:hAnsi="Arial Unicode MS" w:cs="Arial Unicode MS" w:hint="eastAsia"/>
          <w:color w:val="auto"/>
          <w:lang w:val="zh-TW"/>
        </w:rPr>
        <w:t>課程綱要</w:t>
      </w:r>
    </w:p>
    <w:tbl>
      <w:tblPr>
        <w:tblStyle w:val="TableNormal"/>
        <w:tblW w:w="1472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65"/>
        <w:gridCol w:w="1335"/>
        <w:gridCol w:w="2820"/>
        <w:gridCol w:w="1320"/>
        <w:gridCol w:w="3270"/>
        <w:gridCol w:w="4313"/>
      </w:tblGrid>
      <w:tr w:rsidR="00B11F5D" w:rsidRPr="00B11F5D">
        <w:trPr>
          <w:trHeight w:val="364"/>
          <w:jc w:val="center"/>
        </w:trPr>
        <w:tc>
          <w:tcPr>
            <w:tcW w:w="7140" w:type="dxa"/>
            <w:gridSpan w:val="4"/>
            <w:vMerge w:val="restart"/>
            <w:tcBorders>
              <w:top w:val="single" w:sz="15" w:space="0" w:color="000000"/>
              <w:left w:val="single" w:sz="1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9B6" w:rsidRPr="00B11F5D" w:rsidRDefault="00B11F5D">
            <w:pPr>
              <w:spacing w:line="240" w:lineRule="auto"/>
              <w:jc w:val="left"/>
              <w:rPr>
                <w:color w:val="auto"/>
              </w:rPr>
            </w:pP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課程名稱：</w:t>
            </w:r>
          </w:p>
          <w:p w:rsidR="003609B6" w:rsidRPr="00B11F5D" w:rsidRDefault="00B11F5D">
            <w:pPr>
              <w:spacing w:line="240" w:lineRule="auto"/>
              <w:jc w:val="left"/>
              <w:rPr>
                <w:color w:val="auto"/>
              </w:rPr>
            </w:pP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（中文）高績效的經營管理</w:t>
            </w:r>
          </w:p>
          <w:p w:rsidR="003609B6" w:rsidRPr="00B11F5D" w:rsidRDefault="00B11F5D">
            <w:pPr>
              <w:spacing w:line="240" w:lineRule="auto"/>
              <w:jc w:val="left"/>
              <w:rPr>
                <w:color w:val="auto"/>
              </w:rPr>
            </w:pPr>
            <w:r w:rsidRPr="00B11F5D">
              <w:rPr>
                <w:rFonts w:ascii="Arial Unicode MS" w:eastAsia="Arial Unicode MS" w:hAnsi="Arial Unicode MS" w:cs="Arial Unicode MS" w:hint="eastAsia"/>
                <w:color w:val="auto"/>
              </w:rPr>
              <w:t>（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英文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</w:rPr>
              <w:t>）</w:t>
            </w:r>
            <w:r w:rsidRPr="00B11F5D">
              <w:rPr>
                <w:color w:val="auto"/>
              </w:rPr>
              <w:t>Building and leading high-performance enterprise</w:t>
            </w:r>
          </w:p>
        </w:tc>
        <w:tc>
          <w:tcPr>
            <w:tcW w:w="3270" w:type="dxa"/>
            <w:tcBorders>
              <w:top w:val="single" w:sz="1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9B6" w:rsidRPr="00B11F5D" w:rsidRDefault="00B11F5D">
            <w:pPr>
              <w:spacing w:line="240" w:lineRule="auto"/>
              <w:jc w:val="left"/>
              <w:rPr>
                <w:color w:val="auto"/>
              </w:rPr>
            </w:pP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開課單位：</w:t>
            </w:r>
          </w:p>
        </w:tc>
        <w:tc>
          <w:tcPr>
            <w:tcW w:w="4313" w:type="dxa"/>
            <w:tcBorders>
              <w:top w:val="single" w:sz="15" w:space="0" w:color="000000"/>
              <w:left w:val="single" w:sz="4" w:space="0" w:color="000000"/>
              <w:bottom w:val="single" w:sz="4" w:space="0" w:color="000000"/>
              <w:right w:val="single" w:sz="1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9B6" w:rsidRPr="00B11F5D" w:rsidRDefault="00B11F5D">
            <w:pPr>
              <w:spacing w:line="240" w:lineRule="auto"/>
              <w:jc w:val="center"/>
              <w:rPr>
                <w:color w:val="auto"/>
              </w:rPr>
            </w:pPr>
            <w:r w:rsidRPr="00B11F5D">
              <w:rPr>
                <w:color w:val="auto"/>
              </w:rPr>
              <w:t>EMBA</w:t>
            </w:r>
          </w:p>
        </w:tc>
      </w:tr>
      <w:tr w:rsidR="00B11F5D" w:rsidRPr="00B11F5D">
        <w:trPr>
          <w:trHeight w:val="506"/>
          <w:jc w:val="center"/>
        </w:trPr>
        <w:tc>
          <w:tcPr>
            <w:tcW w:w="7140" w:type="dxa"/>
            <w:gridSpan w:val="4"/>
            <w:vMerge/>
            <w:tcBorders>
              <w:top w:val="single" w:sz="15" w:space="0" w:color="000000"/>
              <w:left w:val="single" w:sz="1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9B6" w:rsidRPr="00B11F5D" w:rsidRDefault="003609B6">
            <w:pPr>
              <w:rPr>
                <w:color w:val="auto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9B6" w:rsidRPr="00B11F5D" w:rsidRDefault="00B11F5D">
            <w:pPr>
              <w:spacing w:line="240" w:lineRule="auto"/>
              <w:jc w:val="left"/>
              <w:rPr>
                <w:color w:val="auto"/>
              </w:rPr>
            </w:pPr>
            <w:proofErr w:type="gramStart"/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永久課號</w:t>
            </w:r>
            <w:proofErr w:type="gramEnd"/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：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9B6" w:rsidRPr="00B11F5D" w:rsidRDefault="00B11F5D" w:rsidP="00B11F5D">
            <w:pPr>
              <w:jc w:val="center"/>
              <w:rPr>
                <w:color w:val="auto"/>
              </w:rPr>
            </w:pPr>
            <w:r w:rsidRPr="00B11F5D">
              <w:rPr>
                <w:rFonts w:hint="eastAsia"/>
                <w:color w:val="auto"/>
              </w:rPr>
              <w:t>I</w:t>
            </w:r>
            <w:r w:rsidRPr="00B11F5D">
              <w:rPr>
                <w:color w:val="auto"/>
              </w:rPr>
              <w:t>BA1005</w:t>
            </w:r>
          </w:p>
        </w:tc>
      </w:tr>
      <w:tr w:rsidR="00B11F5D" w:rsidRPr="00B11F5D">
        <w:trPr>
          <w:trHeight w:val="690"/>
          <w:jc w:val="center"/>
        </w:trPr>
        <w:tc>
          <w:tcPr>
            <w:tcW w:w="14723" w:type="dxa"/>
            <w:gridSpan w:val="6"/>
            <w:tcBorders>
              <w:top w:val="single" w:sz="4" w:space="0" w:color="000000"/>
              <w:left w:val="single" w:sz="15" w:space="0" w:color="000000"/>
              <w:bottom w:val="single" w:sz="4" w:space="0" w:color="000000"/>
              <w:right w:val="single" w:sz="1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9B6" w:rsidRPr="00B11F5D" w:rsidRDefault="00B11F5D">
            <w:pPr>
              <w:spacing w:line="240" w:lineRule="auto"/>
              <w:jc w:val="left"/>
              <w:rPr>
                <w:color w:val="auto"/>
              </w:rPr>
            </w:pP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授課教師：</w:t>
            </w:r>
          </w:p>
          <w:p w:rsidR="003609B6" w:rsidRPr="00B11F5D" w:rsidRDefault="00B11F5D">
            <w:pPr>
              <w:spacing w:line="240" w:lineRule="auto"/>
              <w:jc w:val="left"/>
              <w:rPr>
                <w:color w:val="auto"/>
              </w:rPr>
            </w:pP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黃鴻順、張家齊</w:t>
            </w:r>
          </w:p>
        </w:tc>
      </w:tr>
      <w:tr w:rsidR="00B11F5D" w:rsidRPr="00B11F5D">
        <w:trPr>
          <w:trHeight w:val="350"/>
          <w:jc w:val="center"/>
        </w:trPr>
        <w:tc>
          <w:tcPr>
            <w:tcW w:w="1665" w:type="dxa"/>
            <w:tcBorders>
              <w:top w:val="single" w:sz="4" w:space="0" w:color="000000"/>
              <w:left w:val="single" w:sz="1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9B6" w:rsidRPr="00B11F5D" w:rsidRDefault="00B11F5D">
            <w:pPr>
              <w:spacing w:line="240" w:lineRule="auto"/>
              <w:jc w:val="left"/>
              <w:rPr>
                <w:color w:val="auto"/>
              </w:rPr>
            </w:pP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學分數：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9B6" w:rsidRPr="00B11F5D" w:rsidRDefault="00B11F5D">
            <w:pPr>
              <w:spacing w:line="240" w:lineRule="auto"/>
              <w:jc w:val="left"/>
              <w:rPr>
                <w:color w:val="auto"/>
              </w:rPr>
            </w:pPr>
            <w:r w:rsidRPr="00B11F5D">
              <w:rPr>
                <w:color w:val="auto"/>
              </w:rPr>
              <w:t>1.00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9B6" w:rsidRPr="00B11F5D" w:rsidRDefault="00B11F5D">
            <w:pPr>
              <w:spacing w:line="240" w:lineRule="auto"/>
              <w:jc w:val="left"/>
              <w:rPr>
                <w:rFonts w:eastAsiaTheme="minorEastAsia"/>
                <w:color w:val="auto"/>
              </w:rPr>
            </w:pP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必／選修：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9B6" w:rsidRPr="00B11F5D" w:rsidRDefault="00B11F5D">
            <w:pPr>
              <w:spacing w:line="240" w:lineRule="auto"/>
              <w:jc w:val="left"/>
              <w:rPr>
                <w:color w:val="auto"/>
              </w:rPr>
            </w:pP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選修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9B6" w:rsidRPr="00B11F5D" w:rsidRDefault="00B11F5D">
            <w:pPr>
              <w:spacing w:line="240" w:lineRule="auto"/>
              <w:jc w:val="left"/>
              <w:rPr>
                <w:color w:val="auto"/>
              </w:rPr>
            </w:pP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開課年級：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9B6" w:rsidRPr="00B11F5D" w:rsidRDefault="003609B6">
            <w:pPr>
              <w:rPr>
                <w:color w:val="auto"/>
              </w:rPr>
            </w:pPr>
          </w:p>
        </w:tc>
      </w:tr>
      <w:tr w:rsidR="00B11F5D" w:rsidRPr="00B11F5D">
        <w:trPr>
          <w:trHeight w:val="690"/>
          <w:jc w:val="center"/>
        </w:trPr>
        <w:tc>
          <w:tcPr>
            <w:tcW w:w="14723" w:type="dxa"/>
            <w:gridSpan w:val="6"/>
            <w:tcBorders>
              <w:top w:val="single" w:sz="4" w:space="0" w:color="000000"/>
              <w:left w:val="single" w:sz="15" w:space="0" w:color="000000"/>
              <w:bottom w:val="single" w:sz="4" w:space="0" w:color="000000"/>
              <w:right w:val="single" w:sz="1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9B6" w:rsidRPr="00B11F5D" w:rsidRDefault="00B11F5D">
            <w:pPr>
              <w:spacing w:line="240" w:lineRule="auto"/>
              <w:jc w:val="left"/>
              <w:rPr>
                <w:color w:val="auto"/>
              </w:rPr>
            </w:pP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先修科目或先備能力：</w:t>
            </w:r>
          </w:p>
          <w:p w:rsidR="003609B6" w:rsidRPr="00B11F5D" w:rsidRDefault="00B11F5D">
            <w:pPr>
              <w:spacing w:line="240" w:lineRule="auto"/>
              <w:jc w:val="left"/>
              <w:rPr>
                <w:color w:val="auto"/>
              </w:rPr>
            </w:pP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無</w:t>
            </w:r>
          </w:p>
        </w:tc>
      </w:tr>
      <w:tr w:rsidR="00B11F5D" w:rsidRPr="00B11F5D">
        <w:trPr>
          <w:trHeight w:val="3786"/>
          <w:jc w:val="center"/>
        </w:trPr>
        <w:tc>
          <w:tcPr>
            <w:tcW w:w="14723" w:type="dxa"/>
            <w:gridSpan w:val="6"/>
            <w:tcBorders>
              <w:top w:val="single" w:sz="4" w:space="0" w:color="000000"/>
              <w:left w:val="single" w:sz="15" w:space="0" w:color="000000"/>
              <w:bottom w:val="single" w:sz="4" w:space="0" w:color="000000"/>
              <w:right w:val="single" w:sz="1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9B6" w:rsidRPr="00B11F5D" w:rsidRDefault="00B11F5D">
            <w:pPr>
              <w:spacing w:after="240" w:line="240" w:lineRule="auto"/>
              <w:jc w:val="left"/>
              <w:rPr>
                <w:color w:val="auto"/>
              </w:rPr>
            </w:pP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課程概述與目標：</w:t>
            </w:r>
          </w:p>
          <w:p w:rsidR="003609B6" w:rsidRPr="00B11F5D" w:rsidRDefault="00B11F5D">
            <w:pPr>
              <w:spacing w:line="288" w:lineRule="auto"/>
              <w:ind w:firstLine="480"/>
              <w:rPr>
                <w:rFonts w:ascii="Calibri" w:eastAsia="Calibri" w:hAnsi="Calibri" w:cs="Calibri"/>
                <w:color w:val="auto"/>
              </w:rPr>
            </w:pP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企業競爭力源自於「比競爭對手更快、更有效解除客戶的痛苦</w:t>
            </w:r>
            <w:proofErr w:type="gramStart"/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煩惱，</w:t>
            </w:r>
            <w:proofErr w:type="gramEnd"/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創造價值」。中小型企業因為資源有限，想要高效提升競爭力，必須精</w:t>
            </w:r>
            <w:proofErr w:type="gramStart"/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準</w:t>
            </w:r>
            <w:proofErr w:type="gramEnd"/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活用、整合資源，使投入的資源，高效累積、轉化成為企業的競爭力。</w:t>
            </w:r>
          </w:p>
          <w:p w:rsidR="003609B6" w:rsidRPr="00B11F5D" w:rsidRDefault="00B11F5D">
            <w:pPr>
              <w:spacing w:line="288" w:lineRule="auto"/>
              <w:ind w:firstLine="480"/>
              <w:rPr>
                <w:rFonts w:ascii="Calibri" w:eastAsia="Calibri" w:hAnsi="Calibri" w:cs="Calibri"/>
                <w:color w:val="auto"/>
              </w:rPr>
            </w:pP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中小型企業在轉變成中大型企業的過程中，往往會經過五個時期，包括籌備期、生存期、發展期、擴展期、成熟期。在過程中，往往會有許多經營面向的衝突，包括未來市場客層的選擇、產品</w:t>
            </w:r>
            <w:r w:rsidRPr="00B11F5D">
              <w:rPr>
                <w:rFonts w:ascii="Calibri" w:hAnsi="Calibri"/>
                <w:b/>
                <w:bCs/>
                <w:color w:val="auto"/>
              </w:rPr>
              <w:t>/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服務的發展方向、創始人跟團隊的認知落差、人才的取得與培育、財務規劃與資金募集、資源有效配置</w:t>
            </w:r>
            <w:r w:rsidRPr="00B11F5D">
              <w:rPr>
                <w:rFonts w:ascii="Calibri" w:hAnsi="Calibri"/>
                <w:b/>
                <w:bCs/>
                <w:color w:val="auto"/>
              </w:rPr>
              <w:t>......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等。</w:t>
            </w:r>
          </w:p>
          <w:p w:rsidR="003609B6" w:rsidRPr="00B11F5D" w:rsidRDefault="00B11F5D">
            <w:pPr>
              <w:spacing w:after="240" w:line="288" w:lineRule="auto"/>
              <w:ind w:firstLine="480"/>
              <w:rPr>
                <w:color w:val="auto"/>
              </w:rPr>
            </w:pP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本課程透過企業成長五時期與經營四個面向的管理理念、方法與工具，針對企業所面臨的挑戰，進行</w:t>
            </w:r>
            <w:proofErr w:type="gramStart"/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釐</w:t>
            </w:r>
            <w:proofErr w:type="gramEnd"/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清與分析，提出創造高績效之策略性解決方案，協助企業進行組織調整</w:t>
            </w:r>
            <w:r w:rsidRPr="00B11F5D">
              <w:rPr>
                <w:rFonts w:ascii="Calibri" w:eastAsia="新細明體" w:hAnsi="Calibri" w:cs="新細明體"/>
                <w:color w:val="auto"/>
              </w:rPr>
              <w:t>(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策略、人才、流程、產品</w:t>
            </w:r>
            <w:r w:rsidRPr="00B11F5D">
              <w:rPr>
                <w:rFonts w:ascii="Calibri" w:eastAsia="新細明體" w:hAnsi="Calibri" w:cs="新細明體"/>
                <w:b/>
                <w:bCs/>
                <w:color w:val="auto"/>
              </w:rPr>
              <w:t>/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服務、財務</w:t>
            </w:r>
            <w:r w:rsidRPr="00B11F5D">
              <w:rPr>
                <w:rFonts w:ascii="Calibri" w:eastAsia="新細明體" w:hAnsi="Calibri" w:cs="新細明體"/>
                <w:b/>
                <w:bCs/>
                <w:color w:val="auto"/>
              </w:rPr>
              <w:t>......</w:t>
            </w:r>
            <w:r w:rsidRPr="00B11F5D">
              <w:rPr>
                <w:rFonts w:ascii="Calibri" w:eastAsia="新細明體" w:hAnsi="Calibri" w:cs="新細明體"/>
                <w:color w:val="auto"/>
              </w:rPr>
              <w:t>)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，以提升企業經營管理成效，降低營運風險、創造價值、提升企業競爭力。</w:t>
            </w:r>
          </w:p>
        </w:tc>
      </w:tr>
      <w:tr w:rsidR="00B11F5D" w:rsidRPr="00B11F5D">
        <w:trPr>
          <w:trHeight w:val="2224"/>
          <w:jc w:val="center"/>
        </w:trPr>
        <w:tc>
          <w:tcPr>
            <w:tcW w:w="3000" w:type="dxa"/>
            <w:gridSpan w:val="2"/>
            <w:tcBorders>
              <w:top w:val="single" w:sz="4" w:space="0" w:color="000000"/>
              <w:left w:val="single" w:sz="15" w:space="0" w:color="000000"/>
              <w:bottom w:val="single" w:sz="15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9B6" w:rsidRPr="00B11F5D" w:rsidRDefault="00B11F5D">
            <w:pPr>
              <w:spacing w:line="240" w:lineRule="auto"/>
              <w:jc w:val="left"/>
              <w:rPr>
                <w:color w:val="auto"/>
              </w:rPr>
            </w:pP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lastRenderedPageBreak/>
              <w:t>教科書（請註明書名、作者、出版社、出版年等資訊）：</w:t>
            </w:r>
          </w:p>
        </w:tc>
        <w:tc>
          <w:tcPr>
            <w:tcW w:w="11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9B6" w:rsidRPr="00B11F5D" w:rsidRDefault="00B11F5D">
            <w:pPr>
              <w:spacing w:line="240" w:lineRule="auto"/>
              <w:jc w:val="left"/>
              <w:rPr>
                <w:color w:val="auto"/>
              </w:rPr>
            </w:pPr>
            <w:r w:rsidRPr="00B11F5D">
              <w:rPr>
                <w:color w:val="auto"/>
              </w:rPr>
              <w:t>1.HD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：習慣領域－影響一生成敗的人性軟體</w:t>
            </w:r>
            <w:r w:rsidRPr="00B11F5D">
              <w:rPr>
                <w:color w:val="auto"/>
              </w:rPr>
              <w:t xml:space="preserve"> (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時報出版，台北，</w:t>
            </w:r>
            <w:r w:rsidRPr="00B11F5D">
              <w:rPr>
                <w:color w:val="auto"/>
              </w:rPr>
              <w:t>2009</w:t>
            </w:r>
            <w:proofErr w:type="gramStart"/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）</w:t>
            </w:r>
            <w:proofErr w:type="gramEnd"/>
            <w:r w:rsidRPr="00B11F5D">
              <w:rPr>
                <w:color w:val="auto"/>
              </w:rPr>
              <w:t>370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頁</w:t>
            </w:r>
            <w:r w:rsidRPr="00B11F5D">
              <w:rPr>
                <w:color w:val="auto"/>
              </w:rPr>
              <w:t>(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本書為「</w:t>
            </w:r>
            <w:r w:rsidRPr="00B11F5D">
              <w:rPr>
                <w:color w:val="auto"/>
              </w:rPr>
              <w:t>HD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：習慣領域－</w:t>
            </w:r>
            <w:r w:rsidRPr="00B11F5D">
              <w:rPr>
                <w:color w:val="auto"/>
              </w:rPr>
              <w:t>IQ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和</w:t>
            </w:r>
            <w:r w:rsidRPr="00B11F5D">
              <w:rPr>
                <w:color w:val="auto"/>
              </w:rPr>
              <w:t>EQ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沒談的人性軟體」修整後之再版</w:t>
            </w:r>
            <w:r w:rsidRPr="00B11F5D">
              <w:rPr>
                <w:color w:val="auto"/>
              </w:rPr>
              <w:t>)</w:t>
            </w:r>
            <w:r w:rsidRPr="00B11F5D">
              <w:rPr>
                <w:color w:val="auto"/>
              </w:rPr>
              <w:br/>
              <w:t>2.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游伯龍、黃鴻順、陳彥曲</w:t>
            </w:r>
            <w:r w:rsidRPr="00B11F5D">
              <w:rPr>
                <w:color w:val="auto"/>
              </w:rPr>
              <w:t xml:space="preserve">, 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從決策到妙策</w:t>
            </w:r>
            <w:r w:rsidRPr="00B11F5D">
              <w:rPr>
                <w:color w:val="auto"/>
              </w:rPr>
              <w:t xml:space="preserve">, 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時報出版</w:t>
            </w:r>
            <w:r w:rsidRPr="00B11F5D">
              <w:rPr>
                <w:color w:val="auto"/>
              </w:rPr>
              <w:t>, 2015</w:t>
            </w:r>
            <w:r w:rsidRPr="00B11F5D">
              <w:rPr>
                <w:color w:val="auto"/>
              </w:rPr>
              <w:br/>
              <w:t>3.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游伯龍、陳彥曲，</w:t>
            </w:r>
            <w:r w:rsidRPr="00B11F5D">
              <w:rPr>
                <w:color w:val="auto"/>
              </w:rPr>
              <w:t>HD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習慣領域進階版：智慧電網全面啟動，時報出版</w:t>
            </w:r>
            <w:r w:rsidRPr="00B11F5D">
              <w:rPr>
                <w:color w:val="auto"/>
              </w:rPr>
              <w:t>, 2012</w:t>
            </w:r>
            <w:r w:rsidRPr="00B11F5D">
              <w:rPr>
                <w:color w:val="auto"/>
              </w:rPr>
              <w:br/>
              <w:t>4. P. L. Yu, Habitual Domains and Forming Winning Strategies, NCTU Press, 2002</w:t>
            </w:r>
            <w:r w:rsidRPr="00B11F5D">
              <w:rPr>
                <w:color w:val="auto"/>
              </w:rPr>
              <w:br/>
              <w:t xml:space="preserve">5. P. L. Yu, Wonderful Solutions and Habitual Domains for Challenging Problems in Changeable Spaces: From Theoretical Framework to Applications, Springer </w:t>
            </w:r>
            <w:proofErr w:type="spellStart"/>
            <w:r w:rsidRPr="00B11F5D">
              <w:rPr>
                <w:color w:val="auto"/>
              </w:rPr>
              <w:t>Verlag</w:t>
            </w:r>
            <w:proofErr w:type="spellEnd"/>
            <w:r w:rsidRPr="00B11F5D">
              <w:rPr>
                <w:color w:val="auto"/>
              </w:rPr>
              <w:t>, 2016</w:t>
            </w:r>
          </w:p>
        </w:tc>
      </w:tr>
    </w:tbl>
    <w:p w:rsidR="003609B6" w:rsidRPr="00B11F5D" w:rsidRDefault="003609B6">
      <w:pPr>
        <w:widowControl w:val="0"/>
        <w:spacing w:line="240" w:lineRule="auto"/>
        <w:jc w:val="center"/>
        <w:rPr>
          <w:color w:val="auto"/>
        </w:rPr>
      </w:pPr>
    </w:p>
    <w:p w:rsidR="003609B6" w:rsidRPr="00B11F5D" w:rsidRDefault="003609B6">
      <w:pPr>
        <w:widowControl w:val="0"/>
        <w:spacing w:line="240" w:lineRule="auto"/>
        <w:jc w:val="left"/>
        <w:rPr>
          <w:color w:val="auto"/>
        </w:rPr>
      </w:pPr>
    </w:p>
    <w:p w:rsidR="003609B6" w:rsidRPr="00B11F5D" w:rsidRDefault="003609B6">
      <w:pPr>
        <w:widowControl w:val="0"/>
        <w:spacing w:line="240" w:lineRule="auto"/>
        <w:jc w:val="left"/>
        <w:rPr>
          <w:color w:val="auto"/>
        </w:rPr>
      </w:pPr>
    </w:p>
    <w:tbl>
      <w:tblPr>
        <w:tblStyle w:val="TableNormal"/>
        <w:tblW w:w="1301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15"/>
        <w:gridCol w:w="3570"/>
        <w:gridCol w:w="825"/>
        <w:gridCol w:w="900"/>
        <w:gridCol w:w="1000"/>
        <w:gridCol w:w="1000"/>
        <w:gridCol w:w="3000"/>
      </w:tblGrid>
      <w:tr w:rsidR="00B11F5D" w:rsidRPr="00B11F5D">
        <w:trPr>
          <w:trHeight w:val="364"/>
        </w:trPr>
        <w:tc>
          <w:tcPr>
            <w:tcW w:w="628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B11F5D">
            <w:pPr>
              <w:spacing w:line="240" w:lineRule="auto"/>
              <w:jc w:val="center"/>
              <w:rPr>
                <w:color w:val="auto"/>
              </w:rPr>
            </w:pP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課程大網</w:t>
            </w:r>
          </w:p>
        </w:tc>
        <w:tc>
          <w:tcPr>
            <w:tcW w:w="3725" w:type="dxa"/>
            <w:gridSpan w:val="4"/>
            <w:tcBorders>
              <w:top w:val="single" w:sz="1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B11F5D">
            <w:pPr>
              <w:spacing w:line="240" w:lineRule="auto"/>
              <w:jc w:val="center"/>
              <w:rPr>
                <w:color w:val="auto"/>
              </w:rPr>
            </w:pP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分配時數</w:t>
            </w:r>
          </w:p>
        </w:tc>
        <w:tc>
          <w:tcPr>
            <w:tcW w:w="3000" w:type="dxa"/>
            <w:vMerge w:val="restart"/>
            <w:tcBorders>
              <w:top w:val="single" w:sz="15" w:space="0" w:color="000000"/>
              <w:left w:val="single" w:sz="4" w:space="0" w:color="000000"/>
              <w:bottom w:val="single" w:sz="4" w:space="0" w:color="000000"/>
              <w:right w:val="single" w:sz="1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B11F5D">
            <w:pPr>
              <w:spacing w:line="240" w:lineRule="auto"/>
              <w:jc w:val="center"/>
              <w:rPr>
                <w:color w:val="auto"/>
              </w:rPr>
            </w:pP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備註</w:t>
            </w:r>
          </w:p>
        </w:tc>
      </w:tr>
      <w:tr w:rsidR="00B11F5D" w:rsidRPr="00B11F5D">
        <w:trPr>
          <w:trHeight w:val="350"/>
        </w:trPr>
        <w:tc>
          <w:tcPr>
            <w:tcW w:w="2715" w:type="dxa"/>
            <w:tcBorders>
              <w:top w:val="single" w:sz="4" w:space="0" w:color="000000"/>
              <w:left w:val="single" w:sz="1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B11F5D">
            <w:pPr>
              <w:spacing w:line="240" w:lineRule="auto"/>
              <w:jc w:val="center"/>
              <w:rPr>
                <w:color w:val="auto"/>
              </w:rPr>
            </w:pP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單元主題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B11F5D">
            <w:pPr>
              <w:spacing w:line="240" w:lineRule="auto"/>
              <w:jc w:val="center"/>
              <w:rPr>
                <w:color w:val="auto"/>
              </w:rPr>
            </w:pP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內容綱要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B11F5D">
            <w:pPr>
              <w:spacing w:line="240" w:lineRule="auto"/>
              <w:jc w:val="center"/>
              <w:rPr>
                <w:color w:val="auto"/>
              </w:rPr>
            </w:pP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講授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B11F5D">
            <w:pPr>
              <w:spacing w:line="240" w:lineRule="auto"/>
              <w:jc w:val="center"/>
              <w:rPr>
                <w:color w:val="auto"/>
              </w:rPr>
            </w:pP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示範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B11F5D">
            <w:pPr>
              <w:spacing w:line="240" w:lineRule="auto"/>
              <w:jc w:val="center"/>
              <w:rPr>
                <w:color w:val="auto"/>
              </w:rPr>
            </w:pP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習作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B11F5D">
            <w:pPr>
              <w:spacing w:line="240" w:lineRule="auto"/>
              <w:jc w:val="center"/>
              <w:rPr>
                <w:color w:val="auto"/>
              </w:rPr>
            </w:pP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其他</w:t>
            </w:r>
          </w:p>
        </w:tc>
        <w:tc>
          <w:tcPr>
            <w:tcW w:w="3000" w:type="dxa"/>
            <w:vMerge/>
            <w:tcBorders>
              <w:top w:val="single" w:sz="15" w:space="0" w:color="000000"/>
              <w:left w:val="single" w:sz="4" w:space="0" w:color="000000"/>
              <w:bottom w:val="single" w:sz="4" w:space="0" w:color="000000"/>
              <w:right w:val="single" w:sz="15" w:space="0" w:color="000000"/>
            </w:tcBorders>
            <w:shd w:val="clear" w:color="auto" w:fill="auto"/>
          </w:tcPr>
          <w:p w:rsidR="003609B6" w:rsidRPr="00B11F5D" w:rsidRDefault="003609B6">
            <w:pPr>
              <w:rPr>
                <w:color w:val="auto"/>
              </w:rPr>
            </w:pPr>
          </w:p>
        </w:tc>
      </w:tr>
      <w:tr w:rsidR="00B11F5D" w:rsidRPr="00B11F5D">
        <w:trPr>
          <w:trHeight w:val="2050"/>
        </w:trPr>
        <w:tc>
          <w:tcPr>
            <w:tcW w:w="2715" w:type="dxa"/>
            <w:tcBorders>
              <w:top w:val="single" w:sz="4" w:space="0" w:color="000000"/>
              <w:left w:val="single" w:sz="1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B11F5D">
            <w:pPr>
              <w:spacing w:line="240" w:lineRule="auto"/>
              <w:jc w:val="left"/>
              <w:rPr>
                <w:color w:val="auto"/>
              </w:rPr>
            </w:pPr>
            <w:r w:rsidRPr="00B11F5D">
              <w:rPr>
                <w:color w:val="auto"/>
              </w:rPr>
              <w:t xml:space="preserve">1 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企業成長五時期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B11F5D">
            <w:pPr>
              <w:spacing w:line="240" w:lineRule="auto"/>
              <w:jc w:val="left"/>
              <w:rPr>
                <w:color w:val="auto"/>
                <w:shd w:val="clear" w:color="auto" w:fill="FFFFFF"/>
              </w:rPr>
            </w:pPr>
            <w:r w:rsidRPr="00B11F5D">
              <w:rPr>
                <w:color w:val="auto"/>
                <w:shd w:val="clear" w:color="auto" w:fill="FFFFFF"/>
              </w:rPr>
              <w:t xml:space="preserve">1.1 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shd w:val="clear" w:color="auto" w:fill="FFFFFF"/>
                <w:lang w:val="zh-TW"/>
              </w:rPr>
              <w:t>籌備期、生存期、發展期、擴展期、成熟期</w:t>
            </w:r>
          </w:p>
          <w:p w:rsidR="003609B6" w:rsidRPr="00B11F5D" w:rsidRDefault="00B11F5D">
            <w:pPr>
              <w:spacing w:line="240" w:lineRule="auto"/>
              <w:jc w:val="left"/>
              <w:rPr>
                <w:color w:val="auto"/>
                <w:shd w:val="clear" w:color="auto" w:fill="FFFFFF"/>
              </w:rPr>
            </w:pPr>
            <w:r w:rsidRPr="00B11F5D">
              <w:rPr>
                <w:color w:val="auto"/>
                <w:shd w:val="clear" w:color="auto" w:fill="FFFFFF"/>
              </w:rPr>
              <w:t xml:space="preserve">1.2 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shd w:val="clear" w:color="auto" w:fill="FFFFFF"/>
                <w:lang w:val="zh-TW"/>
              </w:rPr>
              <w:t>各時期的高效成長策略</w:t>
            </w:r>
          </w:p>
          <w:p w:rsidR="003609B6" w:rsidRPr="00B11F5D" w:rsidRDefault="00B11F5D">
            <w:pPr>
              <w:spacing w:line="240" w:lineRule="auto"/>
              <w:jc w:val="left"/>
              <w:rPr>
                <w:color w:val="auto"/>
                <w:shd w:val="clear" w:color="auto" w:fill="FFFFFF"/>
              </w:rPr>
            </w:pPr>
            <w:r w:rsidRPr="00B11F5D">
              <w:rPr>
                <w:color w:val="auto"/>
                <w:shd w:val="clear" w:color="auto" w:fill="FFFFFF"/>
              </w:rPr>
              <w:t xml:space="preserve">1.3 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shd w:val="clear" w:color="auto" w:fill="FFFFFF"/>
                <w:lang w:val="zh-TW"/>
              </w:rPr>
              <w:t>各時期的經營管理重點與工具</w:t>
            </w:r>
          </w:p>
          <w:p w:rsidR="003609B6" w:rsidRPr="00B11F5D" w:rsidRDefault="00B11F5D">
            <w:pPr>
              <w:spacing w:line="240" w:lineRule="auto"/>
              <w:jc w:val="left"/>
              <w:rPr>
                <w:color w:val="auto"/>
              </w:rPr>
            </w:pPr>
            <w:r w:rsidRPr="00B11F5D">
              <w:rPr>
                <w:color w:val="auto"/>
                <w:shd w:val="clear" w:color="auto" w:fill="FFFFFF"/>
              </w:rPr>
              <w:t xml:space="preserve">1.4 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shd w:val="clear" w:color="auto" w:fill="FFFFFF"/>
                <w:lang w:val="zh-TW"/>
              </w:rPr>
              <w:t>企業指數型成長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B11F5D">
            <w:pPr>
              <w:spacing w:line="240" w:lineRule="auto"/>
              <w:jc w:val="center"/>
              <w:rPr>
                <w:color w:val="auto"/>
              </w:rPr>
            </w:pPr>
            <w:r w:rsidRPr="00B11F5D">
              <w:rPr>
                <w:color w:val="auto"/>
              </w:rPr>
              <w:t>1.5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3609B6">
            <w:pPr>
              <w:rPr>
                <w:color w:val="auto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B11F5D">
            <w:pPr>
              <w:spacing w:line="240" w:lineRule="auto"/>
              <w:jc w:val="center"/>
              <w:rPr>
                <w:color w:val="auto"/>
              </w:rPr>
            </w:pPr>
            <w:r w:rsidRPr="00B11F5D">
              <w:rPr>
                <w:color w:val="auto"/>
              </w:rPr>
              <w:t>1.5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3609B6">
            <w:pPr>
              <w:rPr>
                <w:color w:val="auto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3609B6">
            <w:pPr>
              <w:rPr>
                <w:color w:val="auto"/>
              </w:rPr>
            </w:pPr>
          </w:p>
        </w:tc>
      </w:tr>
      <w:tr w:rsidR="00B11F5D" w:rsidRPr="00B11F5D">
        <w:trPr>
          <w:trHeight w:val="1370"/>
        </w:trPr>
        <w:tc>
          <w:tcPr>
            <w:tcW w:w="2715" w:type="dxa"/>
            <w:tcBorders>
              <w:top w:val="single" w:sz="4" w:space="0" w:color="000000"/>
              <w:left w:val="single" w:sz="1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B11F5D">
            <w:pPr>
              <w:spacing w:line="240" w:lineRule="auto"/>
              <w:jc w:val="left"/>
              <w:rPr>
                <w:color w:val="auto"/>
              </w:rPr>
            </w:pPr>
            <w:r w:rsidRPr="00B11F5D">
              <w:rPr>
                <w:color w:val="auto"/>
              </w:rPr>
              <w:t xml:space="preserve">2 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企業核心流程全壘打</w:t>
            </w:r>
          </w:p>
          <w:p w:rsidR="003609B6" w:rsidRPr="00B11F5D" w:rsidRDefault="003609B6">
            <w:pPr>
              <w:spacing w:line="240" w:lineRule="auto"/>
              <w:jc w:val="left"/>
              <w:rPr>
                <w:color w:val="auto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B11F5D">
            <w:pPr>
              <w:spacing w:line="240" w:lineRule="auto"/>
              <w:jc w:val="left"/>
              <w:rPr>
                <w:color w:val="auto"/>
                <w:shd w:val="clear" w:color="auto" w:fill="FFFFFF"/>
              </w:rPr>
            </w:pPr>
            <w:r w:rsidRPr="00B11F5D">
              <w:rPr>
                <w:color w:val="auto"/>
                <w:shd w:val="clear" w:color="auto" w:fill="FFFFFF"/>
              </w:rPr>
              <w:t>2.1 0~1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shd w:val="clear" w:color="auto" w:fill="FFFFFF"/>
                <w:lang w:val="zh-TW"/>
              </w:rPr>
              <w:t>壘</w:t>
            </w:r>
            <w:r w:rsidRPr="00B11F5D">
              <w:rPr>
                <w:color w:val="auto"/>
                <w:shd w:val="clear" w:color="auto" w:fill="FFFFFF"/>
              </w:rPr>
              <w:t xml:space="preserve">: 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shd w:val="clear" w:color="auto" w:fill="FFFFFF"/>
                <w:lang w:val="zh-TW"/>
              </w:rPr>
              <w:t>產業分析</w:t>
            </w:r>
          </w:p>
          <w:p w:rsidR="003609B6" w:rsidRPr="00B11F5D" w:rsidRDefault="00B11F5D">
            <w:pPr>
              <w:spacing w:line="240" w:lineRule="auto"/>
              <w:jc w:val="left"/>
              <w:rPr>
                <w:color w:val="auto"/>
                <w:shd w:val="clear" w:color="auto" w:fill="FFFFFF"/>
              </w:rPr>
            </w:pPr>
            <w:r w:rsidRPr="00B11F5D">
              <w:rPr>
                <w:color w:val="auto"/>
                <w:shd w:val="clear" w:color="auto" w:fill="FFFFFF"/>
              </w:rPr>
              <w:t>2.2 1~2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shd w:val="clear" w:color="auto" w:fill="FFFFFF"/>
                <w:lang w:val="zh-TW"/>
              </w:rPr>
              <w:t>壘</w:t>
            </w:r>
            <w:r w:rsidRPr="00B11F5D">
              <w:rPr>
                <w:color w:val="auto"/>
                <w:shd w:val="clear" w:color="auto" w:fill="FFFFFF"/>
              </w:rPr>
              <w:t xml:space="preserve">: 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shd w:val="clear" w:color="auto" w:fill="FFFFFF"/>
                <w:lang w:val="zh-TW"/>
              </w:rPr>
              <w:t>價值主張</w:t>
            </w:r>
          </w:p>
          <w:p w:rsidR="003609B6" w:rsidRPr="00B11F5D" w:rsidRDefault="00B11F5D">
            <w:pPr>
              <w:spacing w:line="240" w:lineRule="auto"/>
              <w:jc w:val="left"/>
              <w:rPr>
                <w:color w:val="auto"/>
                <w:shd w:val="clear" w:color="auto" w:fill="FFFFFF"/>
              </w:rPr>
            </w:pPr>
            <w:r w:rsidRPr="00B11F5D">
              <w:rPr>
                <w:color w:val="auto"/>
                <w:shd w:val="clear" w:color="auto" w:fill="FFFFFF"/>
              </w:rPr>
              <w:t>2.3 2~3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shd w:val="clear" w:color="auto" w:fill="FFFFFF"/>
                <w:lang w:val="zh-TW"/>
              </w:rPr>
              <w:t>壘</w:t>
            </w:r>
            <w:r w:rsidRPr="00B11F5D">
              <w:rPr>
                <w:color w:val="auto"/>
                <w:shd w:val="clear" w:color="auto" w:fill="FFFFFF"/>
              </w:rPr>
              <w:t xml:space="preserve">: 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shd w:val="clear" w:color="auto" w:fill="FFFFFF"/>
                <w:lang w:val="zh-TW"/>
              </w:rPr>
              <w:t>行銷搶單</w:t>
            </w:r>
          </w:p>
          <w:p w:rsidR="003609B6" w:rsidRPr="00B11F5D" w:rsidRDefault="00B11F5D">
            <w:pPr>
              <w:spacing w:line="240" w:lineRule="auto"/>
              <w:jc w:val="left"/>
              <w:rPr>
                <w:color w:val="auto"/>
              </w:rPr>
            </w:pPr>
            <w:r w:rsidRPr="00B11F5D">
              <w:rPr>
                <w:color w:val="auto"/>
                <w:shd w:val="clear" w:color="auto" w:fill="FFFFFF"/>
              </w:rPr>
              <w:t>2.4 3~4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shd w:val="clear" w:color="auto" w:fill="FFFFFF"/>
                <w:lang w:val="zh-TW"/>
              </w:rPr>
              <w:t>壘</w:t>
            </w:r>
            <w:r w:rsidRPr="00B11F5D">
              <w:rPr>
                <w:color w:val="auto"/>
                <w:shd w:val="clear" w:color="auto" w:fill="FFFFFF"/>
              </w:rPr>
              <w:t xml:space="preserve">: 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shd w:val="clear" w:color="auto" w:fill="FFFFFF"/>
                <w:lang w:val="zh-TW"/>
              </w:rPr>
              <w:t>高效行單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B11F5D">
            <w:pPr>
              <w:spacing w:line="240" w:lineRule="auto"/>
              <w:jc w:val="center"/>
              <w:rPr>
                <w:color w:val="auto"/>
              </w:rPr>
            </w:pPr>
            <w:r w:rsidRPr="00B11F5D">
              <w:rPr>
                <w:color w:val="auto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3609B6">
            <w:pPr>
              <w:rPr>
                <w:color w:val="auto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B11F5D">
            <w:pPr>
              <w:spacing w:line="240" w:lineRule="auto"/>
              <w:jc w:val="center"/>
              <w:rPr>
                <w:color w:val="auto"/>
              </w:rPr>
            </w:pPr>
            <w:r w:rsidRPr="00B11F5D">
              <w:rPr>
                <w:color w:val="auto"/>
              </w:rP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3609B6">
            <w:pPr>
              <w:rPr>
                <w:color w:val="auto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3609B6">
            <w:pPr>
              <w:rPr>
                <w:color w:val="auto"/>
              </w:rPr>
            </w:pPr>
          </w:p>
        </w:tc>
      </w:tr>
      <w:tr w:rsidR="00B11F5D" w:rsidRPr="00B11F5D">
        <w:trPr>
          <w:trHeight w:val="2390"/>
        </w:trPr>
        <w:tc>
          <w:tcPr>
            <w:tcW w:w="2715" w:type="dxa"/>
            <w:tcBorders>
              <w:top w:val="single" w:sz="4" w:space="0" w:color="000000"/>
              <w:left w:val="single" w:sz="1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B11F5D">
            <w:pPr>
              <w:spacing w:line="240" w:lineRule="auto"/>
              <w:jc w:val="left"/>
              <w:rPr>
                <w:color w:val="auto"/>
              </w:rPr>
            </w:pPr>
            <w:r w:rsidRPr="00B11F5D">
              <w:rPr>
                <w:color w:val="auto"/>
              </w:rPr>
              <w:lastRenderedPageBreak/>
              <w:t xml:space="preserve">3 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企業人才力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B11F5D">
            <w:pPr>
              <w:spacing w:line="240" w:lineRule="auto"/>
              <w:jc w:val="left"/>
              <w:rPr>
                <w:color w:val="auto"/>
                <w:shd w:val="clear" w:color="auto" w:fill="FFFFFF"/>
              </w:rPr>
            </w:pPr>
            <w:r w:rsidRPr="00B11F5D">
              <w:rPr>
                <w:color w:val="auto"/>
                <w:shd w:val="clear" w:color="auto" w:fill="FFFFFF"/>
              </w:rPr>
              <w:t xml:space="preserve">3.1 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shd w:val="clear" w:color="auto" w:fill="FFFFFF"/>
                <w:lang w:val="zh-TW"/>
              </w:rPr>
              <w:t>別讓人才成為企業成長的痛</w:t>
            </w:r>
          </w:p>
          <w:p w:rsidR="003609B6" w:rsidRPr="00B11F5D" w:rsidRDefault="00B11F5D">
            <w:pPr>
              <w:spacing w:line="240" w:lineRule="auto"/>
              <w:jc w:val="left"/>
              <w:rPr>
                <w:color w:val="auto"/>
                <w:shd w:val="clear" w:color="auto" w:fill="FFFFFF"/>
              </w:rPr>
            </w:pPr>
            <w:r w:rsidRPr="00B11F5D">
              <w:rPr>
                <w:color w:val="auto"/>
                <w:shd w:val="clear" w:color="auto" w:fill="FFFFFF"/>
              </w:rPr>
              <w:t xml:space="preserve">3.2 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shd w:val="clear" w:color="auto" w:fill="FFFFFF"/>
                <w:lang w:val="zh-TW"/>
              </w:rPr>
              <w:t>經營層、主管層、執行層的綜效</w:t>
            </w:r>
          </w:p>
          <w:p w:rsidR="003609B6" w:rsidRPr="00B11F5D" w:rsidRDefault="00B11F5D">
            <w:pPr>
              <w:spacing w:line="240" w:lineRule="auto"/>
              <w:jc w:val="left"/>
              <w:rPr>
                <w:color w:val="auto"/>
                <w:shd w:val="clear" w:color="auto" w:fill="FFFFFF"/>
              </w:rPr>
            </w:pPr>
            <w:r w:rsidRPr="00B11F5D">
              <w:rPr>
                <w:color w:val="auto"/>
                <w:shd w:val="clear" w:color="auto" w:fill="FFFFFF"/>
              </w:rPr>
              <w:t xml:space="preserve">3.3 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shd w:val="clear" w:color="auto" w:fill="FFFFFF"/>
                <w:lang w:val="zh-TW"/>
              </w:rPr>
              <w:t>培育人才的高效方法</w:t>
            </w:r>
            <w:r w:rsidRPr="00B11F5D">
              <w:rPr>
                <w:color w:val="auto"/>
                <w:shd w:val="clear" w:color="auto" w:fill="FFFFFF"/>
              </w:rPr>
              <w:t xml:space="preserve">: 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shd w:val="clear" w:color="auto" w:fill="FFFFFF"/>
                <w:lang w:val="zh-TW"/>
              </w:rPr>
              <w:t>習慣領域</w:t>
            </w:r>
          </w:p>
          <w:p w:rsidR="003609B6" w:rsidRPr="00B11F5D" w:rsidRDefault="00B11F5D">
            <w:pPr>
              <w:spacing w:line="240" w:lineRule="auto"/>
              <w:jc w:val="left"/>
              <w:rPr>
                <w:color w:val="auto"/>
                <w:shd w:val="clear" w:color="auto" w:fill="FFFFFF"/>
              </w:rPr>
            </w:pPr>
            <w:r w:rsidRPr="00B11F5D">
              <w:rPr>
                <w:color w:val="auto"/>
                <w:shd w:val="clear" w:color="auto" w:fill="FFFFFF"/>
              </w:rPr>
              <w:t xml:space="preserve">3.4 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shd w:val="clear" w:color="auto" w:fill="FFFFFF"/>
                <w:lang w:val="zh-TW"/>
              </w:rPr>
              <w:t>職權、職責、職務、職能</w:t>
            </w:r>
          </w:p>
          <w:p w:rsidR="003609B6" w:rsidRPr="00B11F5D" w:rsidRDefault="00B11F5D">
            <w:pPr>
              <w:spacing w:line="240" w:lineRule="auto"/>
              <w:jc w:val="left"/>
              <w:rPr>
                <w:color w:val="auto"/>
              </w:rPr>
            </w:pPr>
            <w:r w:rsidRPr="00B11F5D">
              <w:rPr>
                <w:color w:val="auto"/>
                <w:shd w:val="clear" w:color="auto" w:fill="FFFFFF"/>
              </w:rPr>
              <w:t xml:space="preserve">3.5 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shd w:val="clear" w:color="auto" w:fill="FFFFFF"/>
                <w:lang w:val="zh-TW"/>
              </w:rPr>
              <w:t>人才指數型成長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B11F5D">
            <w:pPr>
              <w:spacing w:line="240" w:lineRule="auto"/>
              <w:jc w:val="center"/>
              <w:rPr>
                <w:color w:val="auto"/>
              </w:rPr>
            </w:pPr>
            <w:r w:rsidRPr="00B11F5D">
              <w:rPr>
                <w:color w:val="auto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3609B6">
            <w:pPr>
              <w:rPr>
                <w:color w:val="auto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B11F5D">
            <w:pPr>
              <w:spacing w:line="240" w:lineRule="auto"/>
              <w:jc w:val="center"/>
              <w:rPr>
                <w:color w:val="auto"/>
              </w:rPr>
            </w:pPr>
            <w:r w:rsidRPr="00B11F5D">
              <w:rPr>
                <w:color w:val="auto"/>
              </w:rP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3609B6">
            <w:pPr>
              <w:rPr>
                <w:color w:val="auto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3609B6">
            <w:pPr>
              <w:rPr>
                <w:color w:val="auto"/>
              </w:rPr>
            </w:pPr>
          </w:p>
        </w:tc>
      </w:tr>
      <w:tr w:rsidR="00B11F5D" w:rsidRPr="00B11F5D">
        <w:trPr>
          <w:trHeight w:val="2050"/>
        </w:trPr>
        <w:tc>
          <w:tcPr>
            <w:tcW w:w="2715" w:type="dxa"/>
            <w:tcBorders>
              <w:top w:val="single" w:sz="4" w:space="0" w:color="000000"/>
              <w:left w:val="single" w:sz="1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B11F5D">
            <w:pPr>
              <w:spacing w:line="240" w:lineRule="auto"/>
              <w:jc w:val="left"/>
              <w:rPr>
                <w:color w:val="auto"/>
              </w:rPr>
            </w:pPr>
            <w:r w:rsidRPr="00B11F5D">
              <w:rPr>
                <w:color w:val="auto"/>
              </w:rPr>
              <w:t xml:space="preserve">4 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企業因應新科技的衝擊</w:t>
            </w:r>
          </w:p>
          <w:p w:rsidR="003609B6" w:rsidRPr="00B11F5D" w:rsidRDefault="003609B6">
            <w:pPr>
              <w:spacing w:line="240" w:lineRule="auto"/>
              <w:jc w:val="left"/>
              <w:rPr>
                <w:color w:val="auto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B11F5D">
            <w:pPr>
              <w:spacing w:line="240" w:lineRule="auto"/>
              <w:jc w:val="left"/>
              <w:rPr>
                <w:color w:val="auto"/>
              </w:rPr>
            </w:pPr>
            <w:r w:rsidRPr="00B11F5D">
              <w:rPr>
                <w:color w:val="auto"/>
              </w:rPr>
              <w:t>4.1 AI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人工智慧、智慧製造、智慧醫療、</w:t>
            </w:r>
            <w:proofErr w:type="gramStart"/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物聯網</w:t>
            </w:r>
            <w:proofErr w:type="gramEnd"/>
          </w:p>
          <w:p w:rsidR="003609B6" w:rsidRPr="00B11F5D" w:rsidRDefault="00B11F5D">
            <w:pPr>
              <w:spacing w:line="240" w:lineRule="auto"/>
              <w:jc w:val="left"/>
              <w:rPr>
                <w:color w:val="auto"/>
              </w:rPr>
            </w:pPr>
            <w:r w:rsidRPr="00B11F5D">
              <w:rPr>
                <w:color w:val="auto"/>
              </w:rPr>
              <w:t xml:space="preserve">4.2 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大數據、雲端、新零售、新經濟</w:t>
            </w:r>
          </w:p>
          <w:p w:rsidR="003609B6" w:rsidRPr="00B11F5D" w:rsidRDefault="00B11F5D">
            <w:pPr>
              <w:spacing w:line="240" w:lineRule="auto"/>
              <w:jc w:val="left"/>
              <w:rPr>
                <w:color w:val="auto"/>
              </w:rPr>
            </w:pPr>
            <w:r w:rsidRPr="00B11F5D">
              <w:rPr>
                <w:color w:val="auto"/>
              </w:rPr>
              <w:t xml:space="preserve">4.3 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數位轉型的階段、流程、方法、工具及人才培育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B11F5D">
            <w:pPr>
              <w:spacing w:line="240" w:lineRule="auto"/>
              <w:jc w:val="center"/>
              <w:rPr>
                <w:color w:val="auto"/>
              </w:rPr>
            </w:pPr>
            <w:r w:rsidRPr="00B11F5D">
              <w:rPr>
                <w:color w:val="auto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B11F5D">
            <w:pPr>
              <w:spacing w:line="240" w:lineRule="auto"/>
              <w:jc w:val="center"/>
              <w:rPr>
                <w:color w:val="auto"/>
              </w:rPr>
            </w:pPr>
            <w:r w:rsidRPr="00B11F5D">
              <w:rPr>
                <w:color w:val="auto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3609B6">
            <w:pPr>
              <w:rPr>
                <w:color w:val="auto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3609B6">
            <w:pPr>
              <w:rPr>
                <w:color w:val="auto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3609B6">
            <w:pPr>
              <w:rPr>
                <w:color w:val="auto"/>
              </w:rPr>
            </w:pPr>
          </w:p>
        </w:tc>
      </w:tr>
      <w:tr w:rsidR="00B11F5D" w:rsidRPr="00B11F5D">
        <w:trPr>
          <w:trHeight w:val="4104"/>
        </w:trPr>
        <w:tc>
          <w:tcPr>
            <w:tcW w:w="2715" w:type="dxa"/>
            <w:tcBorders>
              <w:top w:val="single" w:sz="4" w:space="0" w:color="000000"/>
              <w:left w:val="single" w:sz="15" w:space="0" w:color="000000"/>
              <w:bottom w:val="single" w:sz="15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B11F5D">
            <w:pPr>
              <w:spacing w:line="240" w:lineRule="auto"/>
              <w:jc w:val="left"/>
              <w:rPr>
                <w:color w:val="auto"/>
              </w:rPr>
            </w:pPr>
            <w:r w:rsidRPr="00B11F5D">
              <w:rPr>
                <w:color w:val="auto"/>
              </w:rPr>
              <w:t xml:space="preserve">5 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團隊智慧的提升與累積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15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B11F5D">
            <w:pPr>
              <w:spacing w:line="240" w:lineRule="auto"/>
              <w:jc w:val="left"/>
              <w:rPr>
                <w:color w:val="auto"/>
              </w:rPr>
            </w:pP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依學員的需求，彈性增加以下的主題：</w:t>
            </w:r>
            <w:r w:rsidRPr="00B11F5D">
              <w:rPr>
                <w:color w:val="auto"/>
              </w:rPr>
              <w:br/>
              <w:t>1</w:t>
            </w:r>
            <w:r w:rsidRPr="00B11F5D">
              <w:rPr>
                <w:color w:val="auto"/>
                <w:lang w:val="zh-TW"/>
              </w:rPr>
              <w:t xml:space="preserve"> 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企業經營九面向</w:t>
            </w:r>
            <w:r w:rsidRPr="00B11F5D">
              <w:rPr>
                <w:color w:val="auto"/>
              </w:rPr>
              <w:br/>
              <w:t>2</w:t>
            </w:r>
            <w:r w:rsidRPr="00B11F5D">
              <w:rPr>
                <w:color w:val="auto"/>
                <w:lang w:val="zh-TW"/>
              </w:rPr>
              <w:t xml:space="preserve"> 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系統性思考的實務操作</w:t>
            </w:r>
            <w:r w:rsidRPr="00B11F5D">
              <w:rPr>
                <w:color w:val="auto"/>
              </w:rPr>
              <w:br/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（</w:t>
            </w:r>
            <w:r w:rsidRPr="00B11F5D">
              <w:rPr>
                <w:color w:val="auto"/>
              </w:rPr>
              <w:t>MBO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、</w:t>
            </w:r>
            <w:r w:rsidRPr="00B11F5D">
              <w:rPr>
                <w:color w:val="auto"/>
              </w:rPr>
              <w:t>KPI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、</w:t>
            </w:r>
            <w:r w:rsidRPr="00B11F5D">
              <w:rPr>
                <w:color w:val="auto"/>
              </w:rPr>
              <w:t>OKR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、</w:t>
            </w:r>
            <w:r w:rsidRPr="00B11F5D">
              <w:rPr>
                <w:color w:val="auto"/>
              </w:rPr>
              <w:t>BSC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）</w:t>
            </w:r>
            <w:r w:rsidRPr="00B11F5D">
              <w:rPr>
                <w:color w:val="auto"/>
              </w:rPr>
              <w:br/>
              <w:t>3</w:t>
            </w:r>
            <w:r w:rsidRPr="00B11F5D">
              <w:rPr>
                <w:color w:val="auto"/>
                <w:lang w:val="zh-TW"/>
              </w:rPr>
              <w:t xml:space="preserve"> 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概念性思考的實務操作</w:t>
            </w:r>
            <w:r w:rsidRPr="00B11F5D">
              <w:rPr>
                <w:color w:val="auto"/>
              </w:rPr>
              <w:br/>
              <w:t>4</w:t>
            </w:r>
            <w:r w:rsidRPr="00B11F5D">
              <w:rPr>
                <w:color w:val="auto"/>
                <w:lang w:val="zh-TW"/>
              </w:rPr>
              <w:t xml:space="preserve"> 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團隊共識、聚焦管理</w:t>
            </w:r>
            <w:r w:rsidRPr="00B11F5D">
              <w:rPr>
                <w:color w:val="auto"/>
              </w:rPr>
              <w:br/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（目標、任務、執行共識）</w:t>
            </w:r>
            <w:r w:rsidRPr="00B11F5D">
              <w:rPr>
                <w:color w:val="auto"/>
              </w:rPr>
              <w:br/>
              <w:t>5</w:t>
            </w:r>
            <w:r w:rsidRPr="00B11F5D">
              <w:rPr>
                <w:color w:val="auto"/>
                <w:lang w:val="zh-TW"/>
              </w:rPr>
              <w:t xml:space="preserve"> 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創業、價值主張、創新動態</w:t>
            </w:r>
            <w:r w:rsidRPr="00B11F5D">
              <w:rPr>
                <w:color w:val="auto"/>
              </w:rPr>
              <w:t xml:space="preserve"> </w:t>
            </w:r>
            <w:r w:rsidRPr="00B11F5D">
              <w:rPr>
                <w:color w:val="auto"/>
              </w:rPr>
              <w:br/>
            </w:r>
            <w:r w:rsidRPr="00B11F5D">
              <w:rPr>
                <w:color w:val="auto"/>
              </w:rPr>
              <w:lastRenderedPageBreak/>
              <w:t xml:space="preserve">  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學（創新實作）</w:t>
            </w:r>
            <w:r w:rsidRPr="00B11F5D">
              <w:rPr>
                <w:color w:val="auto"/>
              </w:rPr>
              <w:br/>
              <w:t>6</w:t>
            </w:r>
            <w:r w:rsidRPr="00B11F5D">
              <w:rPr>
                <w:color w:val="auto"/>
                <w:lang w:val="zh-TW"/>
              </w:rPr>
              <w:t xml:space="preserve"> 二代接班的流程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、</w:t>
            </w:r>
            <w:r w:rsidRPr="00B11F5D">
              <w:rPr>
                <w:color w:val="auto"/>
                <w:lang w:val="zh-TW"/>
              </w:rPr>
              <w:t>步驟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、</w:t>
            </w:r>
            <w:r w:rsidRPr="00B11F5D">
              <w:rPr>
                <w:color w:val="auto"/>
                <w:lang w:val="zh-TW"/>
              </w:rPr>
              <w:t>方法</w:t>
            </w:r>
          </w:p>
          <w:p w:rsidR="003609B6" w:rsidRPr="00B11F5D" w:rsidRDefault="00B11F5D">
            <w:pPr>
              <w:spacing w:line="240" w:lineRule="auto"/>
              <w:jc w:val="left"/>
              <w:rPr>
                <w:color w:val="auto"/>
              </w:rPr>
            </w:pPr>
            <w:r w:rsidRPr="00B11F5D">
              <w:rPr>
                <w:color w:val="auto"/>
              </w:rPr>
              <w:t>7</w:t>
            </w:r>
            <w:r w:rsidRPr="00B11F5D">
              <w:rPr>
                <w:color w:val="auto"/>
                <w:lang w:val="zh-TW"/>
              </w:rPr>
              <w:t xml:space="preserve"> 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企業經營實務探討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15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B11F5D">
            <w:pPr>
              <w:spacing w:line="240" w:lineRule="auto"/>
              <w:jc w:val="center"/>
              <w:rPr>
                <w:color w:val="auto"/>
              </w:rPr>
            </w:pPr>
            <w:r w:rsidRPr="00B11F5D">
              <w:rPr>
                <w:color w:val="auto"/>
              </w:rPr>
              <w:lastRenderedPageBreak/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5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3609B6">
            <w:pPr>
              <w:rPr>
                <w:color w:val="auto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15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3609B6">
            <w:pPr>
              <w:rPr>
                <w:color w:val="auto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15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3609B6">
            <w:pPr>
              <w:rPr>
                <w:color w:val="auto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3609B6">
            <w:pPr>
              <w:rPr>
                <w:color w:val="auto"/>
              </w:rPr>
            </w:pPr>
          </w:p>
        </w:tc>
      </w:tr>
    </w:tbl>
    <w:p w:rsidR="003609B6" w:rsidRPr="00B11F5D" w:rsidRDefault="003609B6">
      <w:pPr>
        <w:widowControl w:val="0"/>
        <w:spacing w:line="240" w:lineRule="auto"/>
        <w:jc w:val="left"/>
        <w:rPr>
          <w:color w:val="auto"/>
        </w:rPr>
      </w:pPr>
    </w:p>
    <w:tbl>
      <w:tblPr>
        <w:tblStyle w:val="TableNormal"/>
        <w:tblW w:w="130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00"/>
        <w:gridCol w:w="5000"/>
        <w:gridCol w:w="2000"/>
        <w:gridCol w:w="4000"/>
      </w:tblGrid>
      <w:tr w:rsidR="00B11F5D" w:rsidRPr="00B11F5D">
        <w:trPr>
          <w:trHeight w:val="364"/>
        </w:trPr>
        <w:tc>
          <w:tcPr>
            <w:tcW w:w="13000" w:type="dxa"/>
            <w:gridSpan w:val="4"/>
            <w:tcBorders>
              <w:top w:val="single" w:sz="15" w:space="0" w:color="000000"/>
              <w:left w:val="single" w:sz="15" w:space="0" w:color="000000"/>
              <w:bottom w:val="single" w:sz="4" w:space="0" w:color="000000"/>
              <w:right w:val="single" w:sz="1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B11F5D">
            <w:pPr>
              <w:spacing w:line="240" w:lineRule="auto"/>
              <w:jc w:val="left"/>
              <w:rPr>
                <w:color w:val="auto"/>
              </w:rPr>
            </w:pP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教學要點概述：</w:t>
            </w:r>
          </w:p>
        </w:tc>
      </w:tr>
      <w:tr w:rsidR="00B11F5D" w:rsidRPr="00B11F5D">
        <w:trPr>
          <w:trHeight w:val="1650"/>
        </w:trPr>
        <w:tc>
          <w:tcPr>
            <w:tcW w:w="13000" w:type="dxa"/>
            <w:gridSpan w:val="4"/>
            <w:tcBorders>
              <w:top w:val="single" w:sz="4" w:space="0" w:color="000000"/>
              <w:left w:val="single" w:sz="15" w:space="0" w:color="000000"/>
              <w:bottom w:val="single" w:sz="4" w:space="0" w:color="000000"/>
              <w:right w:val="single" w:sz="1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B11F5D">
            <w:pPr>
              <w:spacing w:line="240" w:lineRule="auto"/>
              <w:jc w:val="left"/>
              <w:rPr>
                <w:color w:val="auto"/>
              </w:rPr>
            </w:pPr>
            <w:r w:rsidRPr="00B11F5D">
              <w:rPr>
                <w:color w:val="auto"/>
              </w:rPr>
              <w:t>1.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學期作業、考試、評量</w:t>
            </w:r>
          </w:p>
          <w:p w:rsidR="003609B6" w:rsidRPr="00B11F5D" w:rsidRDefault="00B11F5D">
            <w:pPr>
              <w:spacing w:line="240" w:lineRule="auto"/>
              <w:jc w:val="left"/>
              <w:rPr>
                <w:color w:val="auto"/>
              </w:rPr>
            </w:pP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參與、創意、上台報告、書面報告</w:t>
            </w:r>
          </w:p>
          <w:p w:rsidR="003609B6" w:rsidRPr="00B11F5D" w:rsidRDefault="003609B6">
            <w:pPr>
              <w:spacing w:line="240" w:lineRule="auto"/>
              <w:jc w:val="left"/>
              <w:rPr>
                <w:color w:val="auto"/>
              </w:rPr>
            </w:pPr>
          </w:p>
          <w:p w:rsidR="003609B6" w:rsidRPr="00B11F5D" w:rsidRDefault="00B11F5D">
            <w:pPr>
              <w:spacing w:line="240" w:lineRule="auto"/>
              <w:jc w:val="left"/>
              <w:rPr>
                <w:color w:val="auto"/>
              </w:rPr>
            </w:pPr>
            <w:r w:rsidRPr="00B11F5D">
              <w:rPr>
                <w:color w:val="auto"/>
              </w:rPr>
              <w:t>2.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教學方法及教學相關配合事項（如助教、網站或圖書及資料庫等）</w:t>
            </w:r>
          </w:p>
          <w:p w:rsidR="003609B6" w:rsidRPr="00B11F5D" w:rsidRDefault="00B11F5D">
            <w:pPr>
              <w:spacing w:line="240" w:lineRule="auto"/>
              <w:jc w:val="left"/>
              <w:rPr>
                <w:color w:val="auto"/>
              </w:rPr>
            </w:pP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上課、討論、報告、數位學習平台</w:t>
            </w:r>
            <w:hyperlink r:id="rId6" w:history="1">
              <w:r w:rsidR="00984490" w:rsidRPr="00984490">
                <w:rPr>
                  <w:rStyle w:val="a3"/>
                  <w:rFonts w:ascii="Arial Unicode MS" w:eastAsia="Arial Unicode MS" w:hAnsi="Arial Unicode MS" w:cs="Arial Unicode MS"/>
                  <w:color w:val="0070C0"/>
                  <w:lang w:val="zh-TW"/>
                </w:rPr>
                <w:t>https://h</w:t>
              </w:r>
              <w:bookmarkStart w:id="0" w:name="_GoBack"/>
              <w:bookmarkEnd w:id="0"/>
              <w:r w:rsidR="00984490" w:rsidRPr="00984490">
                <w:rPr>
                  <w:rStyle w:val="a3"/>
                  <w:rFonts w:ascii="Arial Unicode MS" w:eastAsia="Arial Unicode MS" w:hAnsi="Arial Unicode MS" w:cs="Arial Unicode MS"/>
                  <w:color w:val="0070C0"/>
                  <w:lang w:val="zh-TW"/>
                </w:rPr>
                <w:t>pm.hdu.tw/</w:t>
              </w:r>
            </w:hyperlink>
            <w:r w:rsidR="00984490">
              <w:rPr>
                <w:rFonts w:ascii="Arial Unicode MS" w:eastAsia="Arial Unicode MS" w:hAnsi="Arial Unicode MS" w:cs="Arial Unicode MS"/>
                <w:color w:val="auto"/>
                <w:lang w:val="zh-TW"/>
              </w:rPr>
              <w:t xml:space="preserve"> </w:t>
            </w:r>
            <w:r w:rsidRPr="00B11F5D">
              <w:rPr>
                <w:rFonts w:ascii="Calibri" w:hAnsi="Calibri"/>
                <w:color w:val="auto"/>
                <w:lang w:val="zh-TW"/>
              </w:rPr>
              <w:t>(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複習</w:t>
            </w:r>
            <w:r w:rsidRPr="00B11F5D">
              <w:rPr>
                <w:rFonts w:ascii="Calibri" w:hAnsi="Calibri"/>
                <w:color w:val="auto"/>
                <w:lang w:val="zh-TW"/>
              </w:rPr>
              <w:t>)</w:t>
            </w:r>
          </w:p>
        </w:tc>
      </w:tr>
      <w:tr w:rsidR="00B11F5D" w:rsidRPr="00B11F5D">
        <w:trPr>
          <w:trHeight w:val="350"/>
        </w:trPr>
        <w:tc>
          <w:tcPr>
            <w:tcW w:w="2000" w:type="dxa"/>
            <w:vMerge w:val="restart"/>
            <w:tcBorders>
              <w:top w:val="single" w:sz="4" w:space="0" w:color="000000"/>
              <w:left w:val="single" w:sz="15" w:space="0" w:color="000000"/>
              <w:bottom w:val="single" w:sz="15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B11F5D">
            <w:pPr>
              <w:spacing w:line="240" w:lineRule="auto"/>
              <w:jc w:val="left"/>
              <w:rPr>
                <w:color w:val="auto"/>
              </w:rPr>
            </w:pP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師生晤談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B11F5D">
            <w:pPr>
              <w:spacing w:line="240" w:lineRule="auto"/>
              <w:jc w:val="left"/>
              <w:rPr>
                <w:color w:val="auto"/>
              </w:rPr>
            </w:pP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排定時間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B11F5D">
            <w:pPr>
              <w:spacing w:line="240" w:lineRule="auto"/>
              <w:jc w:val="left"/>
              <w:rPr>
                <w:color w:val="auto"/>
              </w:rPr>
            </w:pP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地點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B11F5D">
            <w:pPr>
              <w:spacing w:line="240" w:lineRule="auto"/>
              <w:jc w:val="left"/>
              <w:rPr>
                <w:color w:val="auto"/>
              </w:rPr>
            </w:pP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聯絡方式</w:t>
            </w:r>
          </w:p>
        </w:tc>
      </w:tr>
      <w:tr w:rsidR="003609B6" w:rsidRPr="00B11F5D">
        <w:trPr>
          <w:trHeight w:val="364"/>
        </w:trPr>
        <w:tc>
          <w:tcPr>
            <w:tcW w:w="2000" w:type="dxa"/>
            <w:vMerge/>
            <w:tcBorders>
              <w:top w:val="single" w:sz="4" w:space="0" w:color="000000"/>
              <w:left w:val="single" w:sz="15" w:space="0" w:color="000000"/>
              <w:bottom w:val="single" w:sz="15" w:space="0" w:color="000000"/>
              <w:right w:val="single" w:sz="4" w:space="0" w:color="000000"/>
            </w:tcBorders>
            <w:shd w:val="clear" w:color="auto" w:fill="auto"/>
          </w:tcPr>
          <w:p w:rsidR="003609B6" w:rsidRPr="00B11F5D" w:rsidRDefault="003609B6">
            <w:pPr>
              <w:rPr>
                <w:color w:val="auto"/>
              </w:rPr>
            </w:pP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15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B11F5D">
            <w:pPr>
              <w:spacing w:line="240" w:lineRule="auto"/>
              <w:jc w:val="left"/>
              <w:rPr>
                <w:color w:val="auto"/>
              </w:rPr>
            </w:pP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請先</w:t>
            </w:r>
            <w:r w:rsidRPr="00B11F5D">
              <w:rPr>
                <w:color w:val="auto"/>
              </w:rPr>
              <w:t>email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預約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15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3609B6">
            <w:pPr>
              <w:rPr>
                <w:color w:val="auto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B11F5D">
            <w:pPr>
              <w:spacing w:line="240" w:lineRule="auto"/>
              <w:jc w:val="left"/>
              <w:rPr>
                <w:color w:val="auto"/>
              </w:rPr>
            </w:pPr>
            <w:r w:rsidRPr="00B11F5D">
              <w:rPr>
                <w:color w:val="auto"/>
              </w:rPr>
              <w:t>kantian@nycu.edu.tw</w:t>
            </w:r>
          </w:p>
        </w:tc>
      </w:tr>
    </w:tbl>
    <w:p w:rsidR="003609B6" w:rsidRPr="00B11F5D" w:rsidRDefault="003609B6">
      <w:pPr>
        <w:widowControl w:val="0"/>
        <w:spacing w:line="240" w:lineRule="auto"/>
        <w:jc w:val="left"/>
        <w:rPr>
          <w:color w:val="auto"/>
        </w:rPr>
      </w:pPr>
    </w:p>
    <w:p w:rsidR="003609B6" w:rsidRPr="00B11F5D" w:rsidRDefault="003609B6">
      <w:pPr>
        <w:widowControl w:val="0"/>
        <w:spacing w:line="240" w:lineRule="auto"/>
        <w:jc w:val="left"/>
        <w:rPr>
          <w:color w:val="auto"/>
        </w:rPr>
      </w:pPr>
    </w:p>
    <w:p w:rsidR="003609B6" w:rsidRPr="00B11F5D" w:rsidRDefault="003609B6">
      <w:pPr>
        <w:widowControl w:val="0"/>
        <w:spacing w:line="240" w:lineRule="auto"/>
        <w:jc w:val="left"/>
        <w:rPr>
          <w:color w:val="auto"/>
        </w:rPr>
      </w:pPr>
    </w:p>
    <w:tbl>
      <w:tblPr>
        <w:tblStyle w:val="TableNormal"/>
        <w:tblW w:w="100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32"/>
        <w:gridCol w:w="2168"/>
        <w:gridCol w:w="7000"/>
      </w:tblGrid>
      <w:tr w:rsidR="00B11F5D" w:rsidRPr="00B11F5D">
        <w:trPr>
          <w:trHeight w:val="364"/>
        </w:trPr>
        <w:tc>
          <w:tcPr>
            <w:tcW w:w="10000" w:type="dxa"/>
            <w:gridSpan w:val="3"/>
            <w:tcBorders>
              <w:top w:val="single" w:sz="15" w:space="0" w:color="000000"/>
              <w:left w:val="single" w:sz="15" w:space="0" w:color="000000"/>
              <w:bottom w:val="single" w:sz="4" w:space="0" w:color="000000"/>
              <w:right w:val="single" w:sz="1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B11F5D">
            <w:pPr>
              <w:spacing w:line="240" w:lineRule="auto"/>
              <w:jc w:val="left"/>
              <w:rPr>
                <w:color w:val="auto"/>
              </w:rPr>
            </w:pP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lastRenderedPageBreak/>
              <w:t>每週進度表</w:t>
            </w:r>
          </w:p>
        </w:tc>
      </w:tr>
      <w:tr w:rsidR="00B11F5D" w:rsidRPr="00B11F5D">
        <w:trPr>
          <w:trHeight w:val="350"/>
        </w:trPr>
        <w:tc>
          <w:tcPr>
            <w:tcW w:w="832" w:type="dxa"/>
            <w:tcBorders>
              <w:top w:val="single" w:sz="4" w:space="0" w:color="000000"/>
              <w:left w:val="single" w:sz="1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B11F5D">
            <w:pPr>
              <w:spacing w:line="240" w:lineRule="auto"/>
              <w:jc w:val="center"/>
              <w:rPr>
                <w:color w:val="auto"/>
              </w:rPr>
            </w:pPr>
            <w:proofErr w:type="gramStart"/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週</w:t>
            </w:r>
            <w:proofErr w:type="gramEnd"/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次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B11F5D">
            <w:pPr>
              <w:spacing w:line="240" w:lineRule="auto"/>
              <w:jc w:val="center"/>
              <w:rPr>
                <w:color w:val="auto"/>
              </w:rPr>
            </w:pP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上課日期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B11F5D">
            <w:pPr>
              <w:spacing w:line="240" w:lineRule="auto"/>
              <w:jc w:val="center"/>
              <w:rPr>
                <w:color w:val="auto"/>
              </w:rPr>
            </w:pP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課程進度、內容、主題</w:t>
            </w:r>
          </w:p>
        </w:tc>
      </w:tr>
      <w:tr w:rsidR="00B11F5D" w:rsidRPr="00B11F5D">
        <w:trPr>
          <w:trHeight w:val="4496"/>
        </w:trPr>
        <w:tc>
          <w:tcPr>
            <w:tcW w:w="832" w:type="dxa"/>
            <w:tcBorders>
              <w:top w:val="single" w:sz="4" w:space="0" w:color="000000"/>
              <w:left w:val="single" w:sz="1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B11F5D">
            <w:pPr>
              <w:spacing w:line="240" w:lineRule="auto"/>
              <w:jc w:val="center"/>
              <w:rPr>
                <w:color w:val="auto"/>
              </w:rPr>
            </w:pPr>
            <w:r w:rsidRPr="00B11F5D">
              <w:rPr>
                <w:color w:val="auto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3609B6">
            <w:pPr>
              <w:rPr>
                <w:color w:val="auto"/>
              </w:rPr>
            </w:pP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B11F5D">
            <w:pPr>
              <w:spacing w:line="240" w:lineRule="auto"/>
              <w:jc w:val="left"/>
              <w:rPr>
                <w:color w:val="auto"/>
              </w:rPr>
            </w:pPr>
            <w:r w:rsidRPr="00B11F5D">
              <w:rPr>
                <w:b/>
                <w:bCs/>
                <w:color w:val="auto"/>
                <w:lang w:val="zh-TW"/>
              </w:rPr>
              <w:t>主題</w:t>
            </w:r>
            <w:r w:rsidRPr="00B11F5D">
              <w:rPr>
                <w:b/>
                <w:bCs/>
                <w:color w:val="auto"/>
              </w:rPr>
              <w:t>1</w:t>
            </w:r>
            <w:r w:rsidRPr="00B11F5D">
              <w:rPr>
                <w:b/>
                <w:bCs/>
                <w:color w:val="auto"/>
                <w:lang w:val="zh-TW"/>
              </w:rPr>
              <w:t>：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企業成長五時期</w:t>
            </w:r>
            <w:r w:rsidRPr="00B11F5D">
              <w:rPr>
                <w:rFonts w:ascii="Calibri" w:eastAsia="Calibri" w:hAnsi="Calibri" w:cs="Calibri"/>
                <w:color w:val="auto"/>
                <w:lang w:val="zh-TW"/>
              </w:rPr>
              <w:br/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內容與進度：</w:t>
            </w:r>
            <w:r w:rsidRPr="00B11F5D">
              <w:rPr>
                <w:rFonts w:ascii="Calibri" w:eastAsia="Calibri" w:hAnsi="Calibri" w:cs="Calibri"/>
                <w:color w:val="auto"/>
                <w:lang w:val="zh-TW"/>
              </w:rPr>
              <w:br/>
            </w:r>
            <w:r w:rsidRPr="00B11F5D">
              <w:rPr>
                <w:color w:val="auto"/>
              </w:rPr>
              <w:t xml:space="preserve">1.1 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籌備期、生存期、發展期、擴展期、成熟期</w:t>
            </w:r>
          </w:p>
          <w:p w:rsidR="003609B6" w:rsidRPr="00B11F5D" w:rsidRDefault="00B11F5D">
            <w:pPr>
              <w:spacing w:line="240" w:lineRule="auto"/>
              <w:jc w:val="left"/>
              <w:rPr>
                <w:color w:val="auto"/>
                <w:shd w:val="clear" w:color="auto" w:fill="FFFFFF"/>
              </w:rPr>
            </w:pPr>
            <w:r w:rsidRPr="00B11F5D">
              <w:rPr>
                <w:color w:val="auto"/>
                <w:shd w:val="clear" w:color="auto" w:fill="FFFFFF"/>
              </w:rPr>
              <w:t xml:space="preserve">1.2 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shd w:val="clear" w:color="auto" w:fill="FFFFFF"/>
                <w:lang w:val="zh-TW"/>
              </w:rPr>
              <w:t>各時期的高效成長策略</w:t>
            </w:r>
          </w:p>
          <w:p w:rsidR="003609B6" w:rsidRPr="00B11F5D" w:rsidRDefault="00B11F5D">
            <w:pPr>
              <w:spacing w:line="240" w:lineRule="auto"/>
              <w:jc w:val="left"/>
              <w:rPr>
                <w:color w:val="auto"/>
                <w:shd w:val="clear" w:color="auto" w:fill="FFFFFF"/>
              </w:rPr>
            </w:pPr>
            <w:r w:rsidRPr="00B11F5D">
              <w:rPr>
                <w:color w:val="auto"/>
                <w:shd w:val="clear" w:color="auto" w:fill="FFFFFF"/>
              </w:rPr>
              <w:t xml:space="preserve">1.3 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shd w:val="clear" w:color="auto" w:fill="FFFFFF"/>
                <w:lang w:val="zh-TW"/>
              </w:rPr>
              <w:t>各時期的經營管理重點與工具</w:t>
            </w:r>
          </w:p>
          <w:p w:rsidR="003609B6" w:rsidRPr="00B11F5D" w:rsidRDefault="00B11F5D">
            <w:pPr>
              <w:spacing w:line="240" w:lineRule="auto"/>
              <w:jc w:val="left"/>
              <w:rPr>
                <w:rFonts w:ascii="Calibri" w:eastAsia="Calibri" w:hAnsi="Calibri" w:cs="Calibri"/>
                <w:color w:val="auto"/>
                <w:shd w:val="clear" w:color="auto" w:fill="FFFFFF"/>
                <w:lang w:val="zh-TW"/>
              </w:rPr>
            </w:pPr>
            <w:r w:rsidRPr="00B11F5D">
              <w:rPr>
                <w:color w:val="auto"/>
                <w:shd w:val="clear" w:color="auto" w:fill="FFFFFF"/>
              </w:rPr>
              <w:t xml:space="preserve">1.4 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shd w:val="clear" w:color="auto" w:fill="FFFFFF"/>
                <w:lang w:val="zh-TW"/>
              </w:rPr>
              <w:t>企業指數型成長</w:t>
            </w:r>
          </w:p>
          <w:p w:rsidR="003609B6" w:rsidRPr="00B11F5D" w:rsidRDefault="003609B6">
            <w:pPr>
              <w:spacing w:line="240" w:lineRule="auto"/>
              <w:jc w:val="left"/>
              <w:rPr>
                <w:rFonts w:ascii="Calibri" w:eastAsia="Calibri" w:hAnsi="Calibri" w:cs="Calibri"/>
                <w:color w:val="auto"/>
                <w:shd w:val="clear" w:color="auto" w:fill="FFFFFF"/>
                <w:lang w:val="zh-TW"/>
              </w:rPr>
            </w:pPr>
          </w:p>
          <w:p w:rsidR="003609B6" w:rsidRPr="00B11F5D" w:rsidRDefault="00B11F5D">
            <w:pPr>
              <w:spacing w:line="240" w:lineRule="auto"/>
              <w:jc w:val="left"/>
              <w:rPr>
                <w:rFonts w:ascii="Calibri" w:eastAsia="Calibri" w:hAnsi="Calibri" w:cs="Calibri"/>
                <w:color w:val="auto"/>
                <w:lang w:val="zh-TW"/>
              </w:rPr>
            </w:pPr>
            <w:r w:rsidRPr="00B11F5D">
              <w:rPr>
                <w:b/>
                <w:bCs/>
                <w:color w:val="auto"/>
                <w:lang w:val="zh-TW"/>
              </w:rPr>
              <w:t>主題</w:t>
            </w:r>
            <w:r w:rsidRPr="00B11F5D">
              <w:rPr>
                <w:b/>
                <w:bCs/>
                <w:color w:val="auto"/>
              </w:rPr>
              <w:t>2</w:t>
            </w:r>
            <w:r w:rsidRPr="00B11F5D">
              <w:rPr>
                <w:b/>
                <w:bCs/>
                <w:color w:val="auto"/>
                <w:lang w:val="zh-TW"/>
              </w:rPr>
              <w:t>：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企業核心流程全壘打</w:t>
            </w:r>
          </w:p>
          <w:p w:rsidR="003609B6" w:rsidRPr="00B11F5D" w:rsidRDefault="00B11F5D">
            <w:pPr>
              <w:spacing w:line="240" w:lineRule="auto"/>
              <w:jc w:val="left"/>
              <w:rPr>
                <w:rFonts w:ascii="Calibri" w:eastAsia="Calibri" w:hAnsi="Calibri" w:cs="Calibri"/>
                <w:b/>
                <w:bCs/>
                <w:color w:val="auto"/>
                <w:lang w:val="zh-TW"/>
              </w:rPr>
            </w:pP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內容與進度：</w:t>
            </w:r>
          </w:p>
          <w:p w:rsidR="003609B6" w:rsidRPr="00B11F5D" w:rsidRDefault="00B11F5D">
            <w:pPr>
              <w:spacing w:line="240" w:lineRule="auto"/>
              <w:jc w:val="left"/>
              <w:rPr>
                <w:color w:val="auto"/>
                <w:shd w:val="clear" w:color="auto" w:fill="FFFFFF"/>
              </w:rPr>
            </w:pPr>
            <w:r w:rsidRPr="00B11F5D">
              <w:rPr>
                <w:color w:val="auto"/>
                <w:shd w:val="clear" w:color="auto" w:fill="FFFFFF"/>
              </w:rPr>
              <w:t>2.1 0~1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shd w:val="clear" w:color="auto" w:fill="FFFFFF"/>
                <w:lang w:val="zh-TW"/>
              </w:rPr>
              <w:t>壘</w:t>
            </w:r>
            <w:r w:rsidRPr="00B11F5D">
              <w:rPr>
                <w:color w:val="auto"/>
                <w:shd w:val="clear" w:color="auto" w:fill="FFFFFF"/>
              </w:rPr>
              <w:t xml:space="preserve">: 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shd w:val="clear" w:color="auto" w:fill="FFFFFF"/>
                <w:lang w:val="zh-TW"/>
              </w:rPr>
              <w:t>產業分析</w:t>
            </w:r>
          </w:p>
          <w:p w:rsidR="003609B6" w:rsidRPr="00B11F5D" w:rsidRDefault="00B11F5D">
            <w:pPr>
              <w:spacing w:line="240" w:lineRule="auto"/>
              <w:jc w:val="left"/>
              <w:rPr>
                <w:color w:val="auto"/>
                <w:shd w:val="clear" w:color="auto" w:fill="FFFFFF"/>
              </w:rPr>
            </w:pPr>
            <w:r w:rsidRPr="00B11F5D">
              <w:rPr>
                <w:color w:val="auto"/>
                <w:shd w:val="clear" w:color="auto" w:fill="FFFFFF"/>
              </w:rPr>
              <w:t>2.2 1~2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shd w:val="clear" w:color="auto" w:fill="FFFFFF"/>
                <w:lang w:val="zh-TW"/>
              </w:rPr>
              <w:t>壘</w:t>
            </w:r>
            <w:r w:rsidRPr="00B11F5D">
              <w:rPr>
                <w:color w:val="auto"/>
                <w:shd w:val="clear" w:color="auto" w:fill="FFFFFF"/>
              </w:rPr>
              <w:t xml:space="preserve">: 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shd w:val="clear" w:color="auto" w:fill="FFFFFF"/>
                <w:lang w:val="zh-TW"/>
              </w:rPr>
              <w:t>價值主張</w:t>
            </w:r>
          </w:p>
          <w:p w:rsidR="003609B6" w:rsidRPr="00B11F5D" w:rsidRDefault="00B11F5D">
            <w:pPr>
              <w:spacing w:line="240" w:lineRule="auto"/>
              <w:jc w:val="left"/>
              <w:rPr>
                <w:color w:val="auto"/>
                <w:shd w:val="clear" w:color="auto" w:fill="FFFFFF"/>
              </w:rPr>
            </w:pPr>
            <w:r w:rsidRPr="00B11F5D">
              <w:rPr>
                <w:color w:val="auto"/>
                <w:shd w:val="clear" w:color="auto" w:fill="FFFFFF"/>
              </w:rPr>
              <w:t>2.3 2~3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shd w:val="clear" w:color="auto" w:fill="FFFFFF"/>
                <w:lang w:val="zh-TW"/>
              </w:rPr>
              <w:t>壘</w:t>
            </w:r>
            <w:r w:rsidRPr="00B11F5D">
              <w:rPr>
                <w:color w:val="auto"/>
                <w:shd w:val="clear" w:color="auto" w:fill="FFFFFF"/>
              </w:rPr>
              <w:t xml:space="preserve">: 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shd w:val="clear" w:color="auto" w:fill="FFFFFF"/>
                <w:lang w:val="zh-TW"/>
              </w:rPr>
              <w:t>行銷搶單</w:t>
            </w:r>
          </w:p>
          <w:p w:rsidR="003609B6" w:rsidRPr="00B11F5D" w:rsidRDefault="00B11F5D">
            <w:pPr>
              <w:spacing w:line="240" w:lineRule="auto"/>
              <w:jc w:val="left"/>
              <w:rPr>
                <w:color w:val="auto"/>
              </w:rPr>
            </w:pPr>
            <w:r w:rsidRPr="00B11F5D">
              <w:rPr>
                <w:color w:val="auto"/>
                <w:shd w:val="clear" w:color="auto" w:fill="FFFFFF"/>
              </w:rPr>
              <w:t>2.4 3~4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shd w:val="clear" w:color="auto" w:fill="FFFFFF"/>
                <w:lang w:val="zh-TW"/>
              </w:rPr>
              <w:t>壘</w:t>
            </w:r>
            <w:r w:rsidRPr="00B11F5D">
              <w:rPr>
                <w:color w:val="auto"/>
                <w:shd w:val="clear" w:color="auto" w:fill="FFFFFF"/>
              </w:rPr>
              <w:t xml:space="preserve">: 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shd w:val="clear" w:color="auto" w:fill="FFFFFF"/>
                <w:lang w:val="zh-TW"/>
              </w:rPr>
              <w:t>高效行單</w:t>
            </w:r>
          </w:p>
        </w:tc>
      </w:tr>
      <w:tr w:rsidR="00B11F5D" w:rsidRPr="00B11F5D">
        <w:trPr>
          <w:trHeight w:val="4690"/>
        </w:trPr>
        <w:tc>
          <w:tcPr>
            <w:tcW w:w="832" w:type="dxa"/>
            <w:tcBorders>
              <w:top w:val="single" w:sz="4" w:space="0" w:color="000000"/>
              <w:left w:val="single" w:sz="1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B11F5D">
            <w:pPr>
              <w:spacing w:line="240" w:lineRule="auto"/>
              <w:jc w:val="center"/>
              <w:rPr>
                <w:color w:val="auto"/>
              </w:rPr>
            </w:pPr>
            <w:r w:rsidRPr="00B11F5D">
              <w:rPr>
                <w:color w:val="auto"/>
              </w:rPr>
              <w:lastRenderedPageBreak/>
              <w:t>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3609B6">
            <w:pPr>
              <w:rPr>
                <w:color w:val="auto"/>
              </w:rPr>
            </w:pP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B11F5D">
            <w:pPr>
              <w:spacing w:line="240" w:lineRule="auto"/>
              <w:jc w:val="left"/>
              <w:rPr>
                <w:rFonts w:ascii="Calibri" w:eastAsia="Calibri" w:hAnsi="Calibri" w:cs="Calibri"/>
                <w:color w:val="auto"/>
                <w:lang w:val="zh-TW"/>
              </w:rPr>
            </w:pPr>
            <w:r w:rsidRPr="00B11F5D">
              <w:rPr>
                <w:b/>
                <w:bCs/>
                <w:color w:val="auto"/>
                <w:lang w:val="zh-TW"/>
              </w:rPr>
              <w:t>主題</w:t>
            </w:r>
            <w:r w:rsidRPr="00B11F5D">
              <w:rPr>
                <w:b/>
                <w:bCs/>
                <w:color w:val="auto"/>
              </w:rPr>
              <w:t>3</w:t>
            </w:r>
            <w:r w:rsidRPr="00B11F5D">
              <w:rPr>
                <w:b/>
                <w:bCs/>
                <w:color w:val="auto"/>
                <w:lang w:val="zh-TW"/>
              </w:rPr>
              <w:t>：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企業人才力</w:t>
            </w:r>
          </w:p>
          <w:p w:rsidR="003609B6" w:rsidRPr="00B11F5D" w:rsidRDefault="00B11F5D">
            <w:pPr>
              <w:spacing w:line="240" w:lineRule="auto"/>
              <w:jc w:val="left"/>
              <w:rPr>
                <w:rFonts w:ascii="Calibri" w:eastAsia="Calibri" w:hAnsi="Calibri" w:cs="Calibri"/>
                <w:b/>
                <w:bCs/>
                <w:color w:val="auto"/>
                <w:lang w:val="zh-TW"/>
              </w:rPr>
            </w:pP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內容與進度：</w:t>
            </w:r>
          </w:p>
          <w:p w:rsidR="003609B6" w:rsidRPr="00B11F5D" w:rsidRDefault="00B11F5D">
            <w:pPr>
              <w:spacing w:line="240" w:lineRule="auto"/>
              <w:jc w:val="left"/>
              <w:rPr>
                <w:color w:val="auto"/>
                <w:shd w:val="clear" w:color="auto" w:fill="FFFFFF"/>
              </w:rPr>
            </w:pPr>
            <w:r w:rsidRPr="00B11F5D">
              <w:rPr>
                <w:color w:val="auto"/>
                <w:shd w:val="clear" w:color="auto" w:fill="FFFFFF"/>
              </w:rPr>
              <w:t xml:space="preserve">3.1 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shd w:val="clear" w:color="auto" w:fill="FFFFFF"/>
                <w:lang w:val="zh-TW"/>
              </w:rPr>
              <w:t>別讓人才成為企業成長的痛</w:t>
            </w:r>
          </w:p>
          <w:p w:rsidR="003609B6" w:rsidRPr="00B11F5D" w:rsidRDefault="00B11F5D">
            <w:pPr>
              <w:spacing w:line="240" w:lineRule="auto"/>
              <w:jc w:val="left"/>
              <w:rPr>
                <w:color w:val="auto"/>
                <w:shd w:val="clear" w:color="auto" w:fill="FFFFFF"/>
              </w:rPr>
            </w:pPr>
            <w:r w:rsidRPr="00B11F5D">
              <w:rPr>
                <w:color w:val="auto"/>
                <w:shd w:val="clear" w:color="auto" w:fill="FFFFFF"/>
              </w:rPr>
              <w:t xml:space="preserve">3.2 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shd w:val="clear" w:color="auto" w:fill="FFFFFF"/>
                <w:lang w:val="zh-TW"/>
              </w:rPr>
              <w:t>經營層、主管層、執行層的綜效</w:t>
            </w:r>
          </w:p>
          <w:p w:rsidR="003609B6" w:rsidRPr="00B11F5D" w:rsidRDefault="00B11F5D">
            <w:pPr>
              <w:spacing w:line="240" w:lineRule="auto"/>
              <w:jc w:val="left"/>
              <w:rPr>
                <w:color w:val="auto"/>
                <w:shd w:val="clear" w:color="auto" w:fill="FFFFFF"/>
              </w:rPr>
            </w:pPr>
            <w:r w:rsidRPr="00B11F5D">
              <w:rPr>
                <w:color w:val="auto"/>
                <w:shd w:val="clear" w:color="auto" w:fill="FFFFFF"/>
              </w:rPr>
              <w:t xml:space="preserve">3.3 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shd w:val="clear" w:color="auto" w:fill="FFFFFF"/>
                <w:lang w:val="zh-TW"/>
              </w:rPr>
              <w:t>培育人才的高效方法</w:t>
            </w:r>
            <w:r w:rsidRPr="00B11F5D">
              <w:rPr>
                <w:color w:val="auto"/>
                <w:shd w:val="clear" w:color="auto" w:fill="FFFFFF"/>
              </w:rPr>
              <w:t xml:space="preserve">: 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shd w:val="clear" w:color="auto" w:fill="FFFFFF"/>
                <w:lang w:val="zh-TW"/>
              </w:rPr>
              <w:t>習慣領域</w:t>
            </w:r>
          </w:p>
          <w:p w:rsidR="003609B6" w:rsidRPr="00B11F5D" w:rsidRDefault="00B11F5D">
            <w:pPr>
              <w:spacing w:line="240" w:lineRule="auto"/>
              <w:jc w:val="left"/>
              <w:rPr>
                <w:color w:val="auto"/>
                <w:shd w:val="clear" w:color="auto" w:fill="FFFFFF"/>
              </w:rPr>
            </w:pPr>
            <w:r w:rsidRPr="00B11F5D">
              <w:rPr>
                <w:color w:val="auto"/>
                <w:shd w:val="clear" w:color="auto" w:fill="FFFFFF"/>
              </w:rPr>
              <w:t xml:space="preserve">3.4 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shd w:val="clear" w:color="auto" w:fill="FFFFFF"/>
                <w:lang w:val="zh-TW"/>
              </w:rPr>
              <w:t>職權、職責、職務、職能</w:t>
            </w:r>
          </w:p>
          <w:p w:rsidR="003609B6" w:rsidRPr="00B11F5D" w:rsidRDefault="00B11F5D">
            <w:pPr>
              <w:spacing w:line="240" w:lineRule="auto"/>
              <w:jc w:val="left"/>
              <w:rPr>
                <w:rFonts w:ascii="Calibri" w:eastAsia="Calibri" w:hAnsi="Calibri" w:cs="Calibri"/>
                <w:color w:val="auto"/>
                <w:lang w:val="zh-TW"/>
              </w:rPr>
            </w:pPr>
            <w:r w:rsidRPr="00B11F5D">
              <w:rPr>
                <w:color w:val="auto"/>
                <w:shd w:val="clear" w:color="auto" w:fill="FFFFFF"/>
              </w:rPr>
              <w:t xml:space="preserve">3.5 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shd w:val="clear" w:color="auto" w:fill="FFFFFF"/>
                <w:lang w:val="zh-TW"/>
              </w:rPr>
              <w:t>人才指數型成長</w:t>
            </w:r>
            <w:r w:rsidRPr="00B11F5D">
              <w:rPr>
                <w:rFonts w:ascii="Calibri" w:eastAsia="Calibri" w:hAnsi="Calibri" w:cs="Calibri"/>
                <w:color w:val="auto"/>
                <w:lang w:val="zh-TW"/>
              </w:rPr>
              <w:br/>
            </w:r>
            <w:r w:rsidRPr="00B11F5D">
              <w:rPr>
                <w:rFonts w:ascii="Calibri" w:eastAsia="Calibri" w:hAnsi="Calibri" w:cs="Calibri"/>
                <w:color w:val="auto"/>
                <w:lang w:val="zh-TW"/>
              </w:rPr>
              <w:br/>
            </w:r>
            <w:r w:rsidRPr="00B11F5D">
              <w:rPr>
                <w:b/>
                <w:bCs/>
                <w:color w:val="auto"/>
                <w:lang w:val="zh-TW"/>
              </w:rPr>
              <w:t>主題</w:t>
            </w:r>
            <w:r w:rsidRPr="00B11F5D">
              <w:rPr>
                <w:b/>
                <w:bCs/>
                <w:color w:val="auto"/>
              </w:rPr>
              <w:t>4</w:t>
            </w:r>
            <w:r w:rsidRPr="00B11F5D">
              <w:rPr>
                <w:b/>
                <w:bCs/>
                <w:color w:val="auto"/>
                <w:lang w:val="zh-TW"/>
              </w:rPr>
              <w:t>：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企業因應新科技的衝擊</w:t>
            </w:r>
          </w:p>
          <w:p w:rsidR="003609B6" w:rsidRPr="00B11F5D" w:rsidRDefault="00B11F5D">
            <w:pPr>
              <w:spacing w:line="240" w:lineRule="auto"/>
              <w:jc w:val="left"/>
              <w:rPr>
                <w:rFonts w:ascii="Calibri" w:eastAsia="Calibri" w:hAnsi="Calibri" w:cs="Calibri"/>
                <w:b/>
                <w:bCs/>
                <w:color w:val="auto"/>
                <w:lang w:val="zh-TW"/>
              </w:rPr>
            </w:pP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內容與進度：</w:t>
            </w:r>
          </w:p>
          <w:p w:rsidR="003609B6" w:rsidRPr="00B11F5D" w:rsidRDefault="00B11F5D">
            <w:pPr>
              <w:spacing w:line="240" w:lineRule="auto"/>
              <w:jc w:val="left"/>
              <w:rPr>
                <w:color w:val="auto"/>
              </w:rPr>
            </w:pPr>
            <w:r w:rsidRPr="00B11F5D">
              <w:rPr>
                <w:color w:val="auto"/>
              </w:rPr>
              <w:t>4.1 AI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人工智慧、智慧製造、智慧醫療、</w:t>
            </w:r>
            <w:proofErr w:type="gramStart"/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物聯網</w:t>
            </w:r>
            <w:proofErr w:type="gramEnd"/>
          </w:p>
          <w:p w:rsidR="003609B6" w:rsidRPr="00B11F5D" w:rsidRDefault="00B11F5D">
            <w:pPr>
              <w:spacing w:line="240" w:lineRule="auto"/>
              <w:jc w:val="left"/>
              <w:rPr>
                <w:color w:val="auto"/>
              </w:rPr>
            </w:pPr>
            <w:r w:rsidRPr="00B11F5D">
              <w:rPr>
                <w:color w:val="auto"/>
              </w:rPr>
              <w:t xml:space="preserve">4.2 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大數據、雲端、新零售、新經濟</w:t>
            </w:r>
          </w:p>
          <w:p w:rsidR="003609B6" w:rsidRPr="00B11F5D" w:rsidRDefault="00B11F5D">
            <w:pPr>
              <w:spacing w:line="240" w:lineRule="auto"/>
              <w:jc w:val="left"/>
              <w:rPr>
                <w:color w:val="auto"/>
              </w:rPr>
            </w:pPr>
            <w:r w:rsidRPr="00B11F5D">
              <w:rPr>
                <w:color w:val="auto"/>
              </w:rPr>
              <w:t xml:space="preserve">4.3 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數位轉型的階段、流程、方法、工具及人才培育</w:t>
            </w:r>
          </w:p>
        </w:tc>
      </w:tr>
      <w:tr w:rsidR="00B11F5D" w:rsidRPr="00B11F5D">
        <w:trPr>
          <w:trHeight w:val="5750"/>
        </w:trPr>
        <w:tc>
          <w:tcPr>
            <w:tcW w:w="832" w:type="dxa"/>
            <w:tcBorders>
              <w:top w:val="single" w:sz="4" w:space="0" w:color="000000"/>
              <w:left w:val="single" w:sz="1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B11F5D">
            <w:pPr>
              <w:spacing w:line="240" w:lineRule="auto"/>
              <w:jc w:val="center"/>
              <w:rPr>
                <w:color w:val="auto"/>
              </w:rPr>
            </w:pPr>
            <w:r w:rsidRPr="00B11F5D">
              <w:rPr>
                <w:color w:val="auto"/>
              </w:rPr>
              <w:lastRenderedPageBreak/>
              <w:t>3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3609B6">
            <w:pPr>
              <w:rPr>
                <w:color w:val="auto"/>
              </w:rPr>
            </w:pP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B11F5D">
            <w:pPr>
              <w:spacing w:line="240" w:lineRule="auto"/>
              <w:jc w:val="left"/>
              <w:rPr>
                <w:rFonts w:ascii="Calibri" w:eastAsia="Calibri" w:hAnsi="Calibri" w:cs="Calibri"/>
                <w:color w:val="auto"/>
                <w:lang w:val="zh-TW"/>
              </w:rPr>
            </w:pPr>
            <w:r w:rsidRPr="00B11F5D">
              <w:rPr>
                <w:b/>
                <w:bCs/>
                <w:color w:val="auto"/>
                <w:lang w:val="zh-TW"/>
              </w:rPr>
              <w:t>主題</w:t>
            </w:r>
            <w:r w:rsidRPr="00B11F5D">
              <w:rPr>
                <w:b/>
                <w:bCs/>
                <w:color w:val="auto"/>
              </w:rPr>
              <w:t>5</w:t>
            </w:r>
            <w:r w:rsidRPr="00B11F5D">
              <w:rPr>
                <w:b/>
                <w:bCs/>
                <w:color w:val="auto"/>
                <w:lang w:val="zh-TW"/>
              </w:rPr>
              <w:t>：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團隊智慧的提升與累積</w:t>
            </w:r>
          </w:p>
          <w:p w:rsidR="003609B6" w:rsidRPr="00B11F5D" w:rsidRDefault="00B11F5D">
            <w:pPr>
              <w:spacing w:line="240" w:lineRule="auto"/>
              <w:jc w:val="left"/>
              <w:rPr>
                <w:rFonts w:ascii="Calibri" w:eastAsia="Calibri" w:hAnsi="Calibri" w:cs="Calibri"/>
                <w:b/>
                <w:bCs/>
                <w:color w:val="auto"/>
                <w:lang w:val="zh-TW"/>
              </w:rPr>
            </w:pP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內容與進度：</w:t>
            </w:r>
          </w:p>
          <w:p w:rsidR="003609B6" w:rsidRPr="00B11F5D" w:rsidRDefault="00B11F5D">
            <w:pPr>
              <w:spacing w:line="240" w:lineRule="auto"/>
              <w:jc w:val="left"/>
              <w:rPr>
                <w:color w:val="auto"/>
              </w:rPr>
            </w:pP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依學員的需求，彈性增加以下的主題：</w:t>
            </w:r>
            <w:r w:rsidRPr="00B11F5D">
              <w:rPr>
                <w:color w:val="auto"/>
              </w:rPr>
              <w:br/>
              <w:t>1</w:t>
            </w:r>
            <w:r w:rsidRPr="00B11F5D">
              <w:rPr>
                <w:color w:val="auto"/>
                <w:lang w:val="zh-TW"/>
              </w:rPr>
              <w:t xml:space="preserve"> 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企業經營九面向</w:t>
            </w:r>
            <w:r w:rsidRPr="00B11F5D">
              <w:rPr>
                <w:color w:val="auto"/>
              </w:rPr>
              <w:br/>
              <w:t>2</w:t>
            </w:r>
            <w:r w:rsidRPr="00B11F5D">
              <w:rPr>
                <w:color w:val="auto"/>
                <w:lang w:val="zh-TW"/>
              </w:rPr>
              <w:t xml:space="preserve"> 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系統性思考的實務操作</w:t>
            </w:r>
            <w:r w:rsidRPr="00B11F5D">
              <w:rPr>
                <w:color w:val="auto"/>
              </w:rPr>
              <w:br/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（</w:t>
            </w:r>
            <w:r w:rsidRPr="00B11F5D">
              <w:rPr>
                <w:color w:val="auto"/>
              </w:rPr>
              <w:t>MBO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、</w:t>
            </w:r>
            <w:r w:rsidRPr="00B11F5D">
              <w:rPr>
                <w:color w:val="auto"/>
              </w:rPr>
              <w:t>KPI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、</w:t>
            </w:r>
            <w:r w:rsidRPr="00B11F5D">
              <w:rPr>
                <w:color w:val="auto"/>
              </w:rPr>
              <w:t>OKR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、</w:t>
            </w:r>
            <w:r w:rsidRPr="00B11F5D">
              <w:rPr>
                <w:color w:val="auto"/>
              </w:rPr>
              <w:t>BSC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）</w:t>
            </w:r>
            <w:r w:rsidRPr="00B11F5D">
              <w:rPr>
                <w:color w:val="auto"/>
              </w:rPr>
              <w:br/>
              <w:t>3</w:t>
            </w:r>
            <w:r w:rsidRPr="00B11F5D">
              <w:rPr>
                <w:color w:val="auto"/>
                <w:lang w:val="zh-TW"/>
              </w:rPr>
              <w:t xml:space="preserve"> 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概念性思考的實務操作</w:t>
            </w:r>
            <w:r w:rsidRPr="00B11F5D">
              <w:rPr>
                <w:color w:val="auto"/>
              </w:rPr>
              <w:br/>
              <w:t>4</w:t>
            </w:r>
            <w:r w:rsidRPr="00B11F5D">
              <w:rPr>
                <w:color w:val="auto"/>
                <w:lang w:val="zh-TW"/>
              </w:rPr>
              <w:t xml:space="preserve"> 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團隊共識、聚焦管理</w:t>
            </w:r>
            <w:r w:rsidRPr="00B11F5D">
              <w:rPr>
                <w:color w:val="auto"/>
              </w:rPr>
              <w:br/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（目標、任務、執行共識）</w:t>
            </w:r>
            <w:r w:rsidRPr="00B11F5D">
              <w:rPr>
                <w:color w:val="auto"/>
              </w:rPr>
              <w:br/>
              <w:t>5</w:t>
            </w:r>
            <w:r w:rsidRPr="00B11F5D">
              <w:rPr>
                <w:color w:val="auto"/>
                <w:lang w:val="zh-TW"/>
              </w:rPr>
              <w:t xml:space="preserve"> 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創業、價值主張、創新動態</w:t>
            </w:r>
            <w:r w:rsidRPr="00B11F5D">
              <w:rPr>
                <w:color w:val="auto"/>
              </w:rPr>
              <w:t xml:space="preserve"> </w:t>
            </w:r>
            <w:r w:rsidRPr="00B11F5D">
              <w:rPr>
                <w:color w:val="auto"/>
              </w:rPr>
              <w:br/>
              <w:t xml:space="preserve">  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學（創新實作）</w:t>
            </w:r>
            <w:r w:rsidRPr="00B11F5D">
              <w:rPr>
                <w:color w:val="auto"/>
              </w:rPr>
              <w:br/>
              <w:t>6</w:t>
            </w:r>
            <w:r w:rsidRPr="00B11F5D">
              <w:rPr>
                <w:color w:val="auto"/>
                <w:lang w:val="zh-TW"/>
              </w:rPr>
              <w:t xml:space="preserve"> 二代接班的流程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、</w:t>
            </w:r>
            <w:r w:rsidRPr="00B11F5D">
              <w:rPr>
                <w:color w:val="auto"/>
                <w:lang w:val="zh-TW"/>
              </w:rPr>
              <w:t>步驟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、</w:t>
            </w:r>
            <w:r w:rsidRPr="00B11F5D">
              <w:rPr>
                <w:color w:val="auto"/>
                <w:lang w:val="zh-TW"/>
              </w:rPr>
              <w:t>方法</w:t>
            </w:r>
          </w:p>
          <w:p w:rsidR="003609B6" w:rsidRPr="00B11F5D" w:rsidRDefault="00B11F5D">
            <w:pPr>
              <w:spacing w:line="240" w:lineRule="auto"/>
              <w:jc w:val="left"/>
              <w:rPr>
                <w:rFonts w:ascii="Calibri" w:eastAsia="Calibri" w:hAnsi="Calibri" w:cs="Calibri"/>
                <w:color w:val="auto"/>
                <w:lang w:val="zh-TW"/>
              </w:rPr>
            </w:pPr>
            <w:r w:rsidRPr="00B11F5D">
              <w:rPr>
                <w:color w:val="auto"/>
              </w:rPr>
              <w:t>7</w:t>
            </w:r>
            <w:r w:rsidRPr="00B11F5D">
              <w:rPr>
                <w:color w:val="auto"/>
                <w:lang w:val="zh-TW"/>
              </w:rPr>
              <w:t xml:space="preserve"> 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企業經營實務探討</w:t>
            </w:r>
          </w:p>
          <w:p w:rsidR="003609B6" w:rsidRPr="00B11F5D" w:rsidRDefault="003609B6">
            <w:pPr>
              <w:spacing w:line="240" w:lineRule="auto"/>
              <w:jc w:val="left"/>
              <w:rPr>
                <w:rFonts w:ascii="Calibri" w:eastAsia="Calibri" w:hAnsi="Calibri" w:cs="Calibri"/>
                <w:color w:val="auto"/>
                <w:lang w:val="zh-TW"/>
              </w:rPr>
            </w:pPr>
          </w:p>
          <w:p w:rsidR="003609B6" w:rsidRPr="00B11F5D" w:rsidRDefault="00B11F5D">
            <w:pPr>
              <w:spacing w:line="240" w:lineRule="auto"/>
              <w:jc w:val="left"/>
              <w:rPr>
                <w:color w:val="auto"/>
              </w:rPr>
            </w:pPr>
            <w:r w:rsidRPr="00B11F5D">
              <w:rPr>
                <w:b/>
                <w:bCs/>
                <w:color w:val="auto"/>
                <w:lang w:val="zh-TW"/>
              </w:rPr>
              <w:t>主題</w:t>
            </w:r>
            <w:r w:rsidRPr="00B11F5D">
              <w:rPr>
                <w:b/>
                <w:bCs/>
                <w:color w:val="auto"/>
              </w:rPr>
              <w:t>6</w:t>
            </w:r>
            <w:r w:rsidRPr="00B11F5D">
              <w:rPr>
                <w:b/>
                <w:bCs/>
                <w:color w:val="auto"/>
                <w:lang w:val="zh-TW"/>
              </w:rPr>
              <w:t>：個案探討</w:t>
            </w:r>
            <w:r w:rsidRPr="00B11F5D">
              <w:rPr>
                <w:b/>
                <w:bCs/>
                <w:color w:val="auto"/>
              </w:rPr>
              <w:br/>
            </w:r>
            <w:r w:rsidRPr="00B11F5D">
              <w:rPr>
                <w:rFonts w:ascii="MicrosoftJhengHeiRegular" w:hAnsi="MicrosoftJhengHeiRegular"/>
                <w:color w:val="auto"/>
              </w:rPr>
              <w:t xml:space="preserve">6.1 </w:t>
            </w:r>
            <w:r w:rsidRPr="00B11F5D">
              <w:rPr>
                <w:rFonts w:eastAsia="MicrosoftJhengHeiRegular" w:hint="eastAsia"/>
                <w:color w:val="auto"/>
                <w:lang w:val="zh-TW"/>
              </w:rPr>
              <w:t>邀請陽明交通大學師長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參與課程，針對學員的個案，進行實務探討與可行性之評估</w:t>
            </w:r>
          </w:p>
        </w:tc>
      </w:tr>
      <w:tr w:rsidR="00B11F5D" w:rsidRPr="00B11F5D">
        <w:trPr>
          <w:trHeight w:val="290"/>
        </w:trPr>
        <w:tc>
          <w:tcPr>
            <w:tcW w:w="832" w:type="dxa"/>
            <w:tcBorders>
              <w:top w:val="single" w:sz="4" w:space="0" w:color="000000"/>
              <w:left w:val="single" w:sz="1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B11F5D">
            <w:pPr>
              <w:spacing w:line="240" w:lineRule="auto"/>
              <w:jc w:val="center"/>
              <w:rPr>
                <w:color w:val="auto"/>
              </w:rPr>
            </w:pPr>
            <w:r w:rsidRPr="00B11F5D">
              <w:rPr>
                <w:color w:val="auto"/>
              </w:rPr>
              <w:t>4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3609B6">
            <w:pPr>
              <w:rPr>
                <w:color w:val="auto"/>
              </w:rPr>
            </w:pP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3609B6">
            <w:pPr>
              <w:rPr>
                <w:color w:val="auto"/>
              </w:rPr>
            </w:pPr>
          </w:p>
        </w:tc>
      </w:tr>
      <w:tr w:rsidR="00B11F5D" w:rsidRPr="00B11F5D">
        <w:trPr>
          <w:trHeight w:val="290"/>
        </w:trPr>
        <w:tc>
          <w:tcPr>
            <w:tcW w:w="832" w:type="dxa"/>
            <w:tcBorders>
              <w:top w:val="single" w:sz="4" w:space="0" w:color="000000"/>
              <w:left w:val="single" w:sz="1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B11F5D">
            <w:pPr>
              <w:spacing w:line="240" w:lineRule="auto"/>
              <w:jc w:val="center"/>
              <w:rPr>
                <w:color w:val="auto"/>
              </w:rPr>
            </w:pPr>
            <w:r w:rsidRPr="00B11F5D">
              <w:rPr>
                <w:color w:val="auto"/>
              </w:rPr>
              <w:t>5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3609B6">
            <w:pPr>
              <w:rPr>
                <w:color w:val="auto"/>
              </w:rPr>
            </w:pP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3609B6">
            <w:pPr>
              <w:rPr>
                <w:color w:val="auto"/>
              </w:rPr>
            </w:pPr>
          </w:p>
        </w:tc>
      </w:tr>
      <w:tr w:rsidR="00B11F5D" w:rsidRPr="00B11F5D">
        <w:trPr>
          <w:trHeight w:val="290"/>
        </w:trPr>
        <w:tc>
          <w:tcPr>
            <w:tcW w:w="832" w:type="dxa"/>
            <w:tcBorders>
              <w:top w:val="single" w:sz="4" w:space="0" w:color="000000"/>
              <w:left w:val="single" w:sz="1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B11F5D">
            <w:pPr>
              <w:spacing w:line="240" w:lineRule="auto"/>
              <w:jc w:val="center"/>
              <w:rPr>
                <w:color w:val="auto"/>
              </w:rPr>
            </w:pPr>
            <w:r w:rsidRPr="00B11F5D">
              <w:rPr>
                <w:color w:val="auto"/>
              </w:rPr>
              <w:t>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3609B6">
            <w:pPr>
              <w:rPr>
                <w:color w:val="auto"/>
              </w:rPr>
            </w:pP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3609B6">
            <w:pPr>
              <w:rPr>
                <w:color w:val="auto"/>
              </w:rPr>
            </w:pPr>
          </w:p>
        </w:tc>
      </w:tr>
      <w:tr w:rsidR="00B11F5D" w:rsidRPr="00B11F5D">
        <w:trPr>
          <w:trHeight w:val="290"/>
        </w:trPr>
        <w:tc>
          <w:tcPr>
            <w:tcW w:w="832" w:type="dxa"/>
            <w:tcBorders>
              <w:top w:val="single" w:sz="4" w:space="0" w:color="000000"/>
              <w:left w:val="single" w:sz="1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B11F5D">
            <w:pPr>
              <w:spacing w:line="240" w:lineRule="auto"/>
              <w:jc w:val="center"/>
              <w:rPr>
                <w:color w:val="auto"/>
              </w:rPr>
            </w:pPr>
            <w:r w:rsidRPr="00B11F5D">
              <w:rPr>
                <w:color w:val="auto"/>
              </w:rPr>
              <w:t>7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3609B6">
            <w:pPr>
              <w:rPr>
                <w:color w:val="auto"/>
              </w:rPr>
            </w:pP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3609B6">
            <w:pPr>
              <w:rPr>
                <w:color w:val="auto"/>
              </w:rPr>
            </w:pPr>
          </w:p>
        </w:tc>
      </w:tr>
      <w:tr w:rsidR="00B11F5D" w:rsidRPr="00B11F5D">
        <w:trPr>
          <w:trHeight w:val="290"/>
        </w:trPr>
        <w:tc>
          <w:tcPr>
            <w:tcW w:w="832" w:type="dxa"/>
            <w:tcBorders>
              <w:top w:val="single" w:sz="4" w:space="0" w:color="000000"/>
              <w:left w:val="single" w:sz="1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B11F5D">
            <w:pPr>
              <w:spacing w:line="240" w:lineRule="auto"/>
              <w:jc w:val="center"/>
              <w:rPr>
                <w:color w:val="auto"/>
              </w:rPr>
            </w:pPr>
            <w:r w:rsidRPr="00B11F5D">
              <w:rPr>
                <w:color w:val="auto"/>
              </w:rPr>
              <w:lastRenderedPageBreak/>
              <w:t>8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3609B6">
            <w:pPr>
              <w:rPr>
                <w:color w:val="auto"/>
              </w:rPr>
            </w:pP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3609B6">
            <w:pPr>
              <w:rPr>
                <w:color w:val="auto"/>
              </w:rPr>
            </w:pPr>
          </w:p>
        </w:tc>
      </w:tr>
      <w:tr w:rsidR="00B11F5D" w:rsidRPr="00B11F5D">
        <w:trPr>
          <w:trHeight w:val="290"/>
        </w:trPr>
        <w:tc>
          <w:tcPr>
            <w:tcW w:w="832" w:type="dxa"/>
            <w:tcBorders>
              <w:top w:val="single" w:sz="4" w:space="0" w:color="000000"/>
              <w:left w:val="single" w:sz="1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B11F5D">
            <w:pPr>
              <w:spacing w:line="240" w:lineRule="auto"/>
              <w:jc w:val="center"/>
              <w:rPr>
                <w:color w:val="auto"/>
              </w:rPr>
            </w:pPr>
            <w:r w:rsidRPr="00B11F5D">
              <w:rPr>
                <w:color w:val="auto"/>
              </w:rPr>
              <w:t>9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3609B6">
            <w:pPr>
              <w:rPr>
                <w:color w:val="auto"/>
              </w:rPr>
            </w:pP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3609B6">
            <w:pPr>
              <w:rPr>
                <w:color w:val="auto"/>
              </w:rPr>
            </w:pPr>
          </w:p>
        </w:tc>
      </w:tr>
      <w:tr w:rsidR="00B11F5D" w:rsidRPr="00B11F5D">
        <w:trPr>
          <w:trHeight w:val="290"/>
        </w:trPr>
        <w:tc>
          <w:tcPr>
            <w:tcW w:w="832" w:type="dxa"/>
            <w:tcBorders>
              <w:top w:val="single" w:sz="4" w:space="0" w:color="000000"/>
              <w:left w:val="single" w:sz="1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B11F5D">
            <w:pPr>
              <w:spacing w:line="240" w:lineRule="auto"/>
              <w:jc w:val="center"/>
              <w:rPr>
                <w:color w:val="auto"/>
              </w:rPr>
            </w:pPr>
            <w:r w:rsidRPr="00B11F5D">
              <w:rPr>
                <w:color w:val="auto"/>
              </w:rPr>
              <w:t>10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3609B6">
            <w:pPr>
              <w:rPr>
                <w:color w:val="auto"/>
              </w:rPr>
            </w:pP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3609B6">
            <w:pPr>
              <w:rPr>
                <w:color w:val="auto"/>
              </w:rPr>
            </w:pPr>
          </w:p>
        </w:tc>
      </w:tr>
      <w:tr w:rsidR="00B11F5D" w:rsidRPr="00B11F5D">
        <w:trPr>
          <w:trHeight w:val="290"/>
        </w:trPr>
        <w:tc>
          <w:tcPr>
            <w:tcW w:w="832" w:type="dxa"/>
            <w:tcBorders>
              <w:top w:val="single" w:sz="4" w:space="0" w:color="000000"/>
              <w:left w:val="single" w:sz="1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B11F5D">
            <w:pPr>
              <w:spacing w:line="240" w:lineRule="auto"/>
              <w:jc w:val="center"/>
              <w:rPr>
                <w:color w:val="auto"/>
              </w:rPr>
            </w:pPr>
            <w:r w:rsidRPr="00B11F5D">
              <w:rPr>
                <w:color w:val="auto"/>
              </w:rPr>
              <w:t>11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3609B6">
            <w:pPr>
              <w:rPr>
                <w:color w:val="auto"/>
              </w:rPr>
            </w:pP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3609B6">
            <w:pPr>
              <w:rPr>
                <w:color w:val="auto"/>
              </w:rPr>
            </w:pPr>
          </w:p>
        </w:tc>
      </w:tr>
      <w:tr w:rsidR="00B11F5D" w:rsidRPr="00B11F5D">
        <w:trPr>
          <w:trHeight w:val="290"/>
        </w:trPr>
        <w:tc>
          <w:tcPr>
            <w:tcW w:w="832" w:type="dxa"/>
            <w:tcBorders>
              <w:top w:val="single" w:sz="4" w:space="0" w:color="000000"/>
              <w:left w:val="single" w:sz="1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B11F5D">
            <w:pPr>
              <w:spacing w:line="240" w:lineRule="auto"/>
              <w:jc w:val="center"/>
              <w:rPr>
                <w:color w:val="auto"/>
              </w:rPr>
            </w:pPr>
            <w:r w:rsidRPr="00B11F5D">
              <w:rPr>
                <w:color w:val="auto"/>
              </w:rPr>
              <w:t>12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3609B6">
            <w:pPr>
              <w:rPr>
                <w:color w:val="auto"/>
              </w:rPr>
            </w:pP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3609B6">
            <w:pPr>
              <w:rPr>
                <w:color w:val="auto"/>
              </w:rPr>
            </w:pPr>
          </w:p>
        </w:tc>
      </w:tr>
      <w:tr w:rsidR="00B11F5D" w:rsidRPr="00B11F5D">
        <w:trPr>
          <w:trHeight w:val="290"/>
        </w:trPr>
        <w:tc>
          <w:tcPr>
            <w:tcW w:w="832" w:type="dxa"/>
            <w:tcBorders>
              <w:top w:val="single" w:sz="4" w:space="0" w:color="000000"/>
              <w:left w:val="single" w:sz="1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B11F5D">
            <w:pPr>
              <w:spacing w:line="240" w:lineRule="auto"/>
              <w:jc w:val="center"/>
              <w:rPr>
                <w:color w:val="auto"/>
              </w:rPr>
            </w:pPr>
            <w:r w:rsidRPr="00B11F5D">
              <w:rPr>
                <w:color w:val="auto"/>
              </w:rPr>
              <w:t>13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3609B6">
            <w:pPr>
              <w:rPr>
                <w:color w:val="auto"/>
              </w:rPr>
            </w:pP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3609B6">
            <w:pPr>
              <w:rPr>
                <w:color w:val="auto"/>
              </w:rPr>
            </w:pPr>
          </w:p>
        </w:tc>
      </w:tr>
      <w:tr w:rsidR="00B11F5D" w:rsidRPr="00B11F5D">
        <w:trPr>
          <w:trHeight w:val="290"/>
        </w:trPr>
        <w:tc>
          <w:tcPr>
            <w:tcW w:w="832" w:type="dxa"/>
            <w:tcBorders>
              <w:top w:val="single" w:sz="4" w:space="0" w:color="000000"/>
              <w:left w:val="single" w:sz="1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B11F5D">
            <w:pPr>
              <w:spacing w:line="240" w:lineRule="auto"/>
              <w:jc w:val="center"/>
              <w:rPr>
                <w:color w:val="auto"/>
              </w:rPr>
            </w:pPr>
            <w:r w:rsidRPr="00B11F5D">
              <w:rPr>
                <w:color w:val="auto"/>
              </w:rPr>
              <w:t>14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3609B6">
            <w:pPr>
              <w:rPr>
                <w:color w:val="auto"/>
              </w:rPr>
            </w:pP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3609B6">
            <w:pPr>
              <w:rPr>
                <w:color w:val="auto"/>
              </w:rPr>
            </w:pPr>
          </w:p>
        </w:tc>
      </w:tr>
      <w:tr w:rsidR="00B11F5D" w:rsidRPr="00B11F5D">
        <w:trPr>
          <w:trHeight w:val="290"/>
        </w:trPr>
        <w:tc>
          <w:tcPr>
            <w:tcW w:w="832" w:type="dxa"/>
            <w:tcBorders>
              <w:top w:val="single" w:sz="4" w:space="0" w:color="000000"/>
              <w:left w:val="single" w:sz="1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B11F5D">
            <w:pPr>
              <w:spacing w:line="240" w:lineRule="auto"/>
              <w:jc w:val="center"/>
              <w:rPr>
                <w:color w:val="auto"/>
              </w:rPr>
            </w:pPr>
            <w:r w:rsidRPr="00B11F5D">
              <w:rPr>
                <w:color w:val="auto"/>
              </w:rPr>
              <w:t>15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3609B6">
            <w:pPr>
              <w:rPr>
                <w:color w:val="auto"/>
              </w:rPr>
            </w:pP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3609B6">
            <w:pPr>
              <w:rPr>
                <w:color w:val="auto"/>
              </w:rPr>
            </w:pPr>
          </w:p>
        </w:tc>
      </w:tr>
      <w:tr w:rsidR="00B11F5D" w:rsidRPr="00B11F5D">
        <w:trPr>
          <w:trHeight w:val="290"/>
        </w:trPr>
        <w:tc>
          <w:tcPr>
            <w:tcW w:w="832" w:type="dxa"/>
            <w:tcBorders>
              <w:top w:val="single" w:sz="4" w:space="0" w:color="000000"/>
              <w:left w:val="single" w:sz="1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B11F5D">
            <w:pPr>
              <w:spacing w:line="240" w:lineRule="auto"/>
              <w:jc w:val="center"/>
              <w:rPr>
                <w:color w:val="auto"/>
              </w:rPr>
            </w:pPr>
            <w:r w:rsidRPr="00B11F5D">
              <w:rPr>
                <w:color w:val="auto"/>
              </w:rPr>
              <w:t>16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3609B6">
            <w:pPr>
              <w:rPr>
                <w:color w:val="auto"/>
              </w:rPr>
            </w:pP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3609B6">
            <w:pPr>
              <w:rPr>
                <w:color w:val="auto"/>
              </w:rPr>
            </w:pPr>
          </w:p>
        </w:tc>
      </w:tr>
      <w:tr w:rsidR="00B11F5D" w:rsidRPr="00B11F5D">
        <w:trPr>
          <w:trHeight w:val="290"/>
        </w:trPr>
        <w:tc>
          <w:tcPr>
            <w:tcW w:w="832" w:type="dxa"/>
            <w:tcBorders>
              <w:top w:val="single" w:sz="4" w:space="0" w:color="000000"/>
              <w:left w:val="single" w:sz="1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B11F5D">
            <w:pPr>
              <w:spacing w:line="240" w:lineRule="auto"/>
              <w:jc w:val="center"/>
              <w:rPr>
                <w:color w:val="auto"/>
              </w:rPr>
            </w:pPr>
            <w:r w:rsidRPr="00B11F5D">
              <w:rPr>
                <w:color w:val="auto"/>
              </w:rPr>
              <w:t>17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3609B6">
            <w:pPr>
              <w:rPr>
                <w:color w:val="auto"/>
              </w:rPr>
            </w:pP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3609B6">
            <w:pPr>
              <w:rPr>
                <w:color w:val="auto"/>
              </w:rPr>
            </w:pPr>
          </w:p>
        </w:tc>
      </w:tr>
      <w:tr w:rsidR="003609B6" w:rsidRPr="00B11F5D">
        <w:trPr>
          <w:trHeight w:val="304"/>
        </w:trPr>
        <w:tc>
          <w:tcPr>
            <w:tcW w:w="832" w:type="dxa"/>
            <w:tcBorders>
              <w:top w:val="single" w:sz="4" w:space="0" w:color="000000"/>
              <w:left w:val="single" w:sz="15" w:space="0" w:color="000000"/>
              <w:bottom w:val="single" w:sz="15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B11F5D">
            <w:pPr>
              <w:spacing w:line="240" w:lineRule="auto"/>
              <w:jc w:val="center"/>
              <w:rPr>
                <w:color w:val="auto"/>
              </w:rPr>
            </w:pPr>
            <w:r w:rsidRPr="00B11F5D">
              <w:rPr>
                <w:color w:val="auto"/>
              </w:rPr>
              <w:t>18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15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3609B6">
            <w:pPr>
              <w:rPr>
                <w:color w:val="auto"/>
              </w:rPr>
            </w:pP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3609B6">
            <w:pPr>
              <w:rPr>
                <w:color w:val="auto"/>
              </w:rPr>
            </w:pPr>
          </w:p>
        </w:tc>
      </w:tr>
    </w:tbl>
    <w:p w:rsidR="003609B6" w:rsidRPr="00B11F5D" w:rsidRDefault="003609B6">
      <w:pPr>
        <w:widowControl w:val="0"/>
        <w:spacing w:line="240" w:lineRule="auto"/>
        <w:jc w:val="left"/>
        <w:rPr>
          <w:color w:val="auto"/>
        </w:rPr>
      </w:pPr>
    </w:p>
    <w:p w:rsidR="003609B6" w:rsidRPr="00B11F5D" w:rsidRDefault="003609B6">
      <w:pPr>
        <w:widowControl w:val="0"/>
        <w:spacing w:line="240" w:lineRule="auto"/>
        <w:jc w:val="left"/>
        <w:rPr>
          <w:color w:val="auto"/>
        </w:rPr>
      </w:pPr>
    </w:p>
    <w:p w:rsidR="003609B6" w:rsidRPr="00B11F5D" w:rsidRDefault="003609B6">
      <w:pPr>
        <w:widowControl w:val="0"/>
        <w:spacing w:line="240" w:lineRule="auto"/>
        <w:jc w:val="left"/>
        <w:rPr>
          <w:color w:val="auto"/>
        </w:rPr>
      </w:pPr>
    </w:p>
    <w:tbl>
      <w:tblPr>
        <w:tblStyle w:val="TableNormal"/>
        <w:tblW w:w="130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000"/>
      </w:tblGrid>
      <w:tr w:rsidR="00B11F5D" w:rsidRPr="00B11F5D">
        <w:trPr>
          <w:trHeight w:val="340"/>
        </w:trPr>
        <w:tc>
          <w:tcPr>
            <w:tcW w:w="1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B11F5D">
            <w:pPr>
              <w:spacing w:line="240" w:lineRule="auto"/>
              <w:jc w:val="left"/>
              <w:rPr>
                <w:color w:val="auto"/>
              </w:rPr>
            </w:pP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備註：</w:t>
            </w:r>
          </w:p>
        </w:tc>
      </w:tr>
      <w:tr w:rsidR="00B11F5D" w:rsidRPr="00B11F5D">
        <w:trPr>
          <w:trHeight w:val="340"/>
        </w:trPr>
        <w:tc>
          <w:tcPr>
            <w:tcW w:w="1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B11F5D">
            <w:pPr>
              <w:spacing w:line="240" w:lineRule="auto"/>
              <w:jc w:val="left"/>
              <w:rPr>
                <w:color w:val="auto"/>
              </w:rPr>
            </w:pPr>
            <w:r w:rsidRPr="00B11F5D">
              <w:rPr>
                <w:color w:val="auto"/>
              </w:rPr>
              <w:t>1.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請遵守智慧財產權觀念及勿使用不法影印教科書。</w:t>
            </w:r>
          </w:p>
        </w:tc>
      </w:tr>
      <w:tr w:rsidR="00B11F5D" w:rsidRPr="00B11F5D">
        <w:trPr>
          <w:trHeight w:val="340"/>
        </w:trPr>
        <w:tc>
          <w:tcPr>
            <w:tcW w:w="1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B11F5D">
            <w:pPr>
              <w:spacing w:line="240" w:lineRule="auto"/>
              <w:jc w:val="left"/>
              <w:rPr>
                <w:color w:val="auto"/>
              </w:rPr>
            </w:pPr>
            <w:r w:rsidRPr="00B11F5D">
              <w:rPr>
                <w:color w:val="auto"/>
              </w:rPr>
              <w:lastRenderedPageBreak/>
              <w:t>2.</w:t>
            </w:r>
            <w:r w:rsidRPr="00B11F5D">
              <w:rPr>
                <w:rFonts w:ascii="Arial Unicode MS" w:eastAsia="Arial Unicode MS" w:hAnsi="Arial Unicode MS" w:cs="Arial Unicode MS" w:hint="eastAsia"/>
                <w:color w:val="auto"/>
                <w:lang w:val="zh-TW"/>
              </w:rPr>
              <w:t>其他欄包含參訪、專題演講等活動。</w:t>
            </w:r>
          </w:p>
        </w:tc>
      </w:tr>
      <w:tr w:rsidR="00B11F5D" w:rsidRPr="00B11F5D">
        <w:trPr>
          <w:trHeight w:val="280"/>
        </w:trPr>
        <w:tc>
          <w:tcPr>
            <w:tcW w:w="1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9B6" w:rsidRPr="00B11F5D" w:rsidRDefault="00B11F5D">
            <w:pPr>
              <w:spacing w:line="240" w:lineRule="auto"/>
              <w:jc w:val="center"/>
              <w:rPr>
                <w:color w:val="auto"/>
              </w:rPr>
            </w:pPr>
            <w:r w:rsidRPr="00B11F5D">
              <w:rPr>
                <w:color w:val="auto"/>
              </w:rPr>
              <w:t xml:space="preserve"> Copyright©2019 National Chiao Tung University ALL RIGHTS RESERVED.</w:t>
            </w:r>
          </w:p>
        </w:tc>
      </w:tr>
    </w:tbl>
    <w:p w:rsidR="003609B6" w:rsidRPr="00B11F5D" w:rsidRDefault="003609B6">
      <w:pPr>
        <w:widowControl w:val="0"/>
        <w:spacing w:line="240" w:lineRule="auto"/>
        <w:jc w:val="left"/>
        <w:rPr>
          <w:color w:val="auto"/>
        </w:rPr>
      </w:pPr>
    </w:p>
    <w:sectPr w:rsidR="003609B6" w:rsidRPr="00B11F5D">
      <w:headerReference w:type="default" r:id="rId7"/>
      <w:footerReference w:type="default" r:id="rId8"/>
      <w:pgSz w:w="15840" w:h="12240" w:orient="landscape"/>
      <w:pgMar w:top="566" w:right="566" w:bottom="566" w:left="56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5C8" w:rsidRDefault="006B15C8">
      <w:pPr>
        <w:spacing w:line="240" w:lineRule="auto"/>
      </w:pPr>
      <w:r>
        <w:separator/>
      </w:r>
    </w:p>
  </w:endnote>
  <w:endnote w:type="continuationSeparator" w:id="0">
    <w:p w:rsidR="006B15C8" w:rsidRDefault="006B15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PingFang TC Regular">
    <w:altName w:val="Times New Roman"/>
    <w:charset w:val="00"/>
    <w:family w:val="roman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JhengHeiRegular">
    <w:altName w:val="Times New Roman"/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TC Semi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9B6" w:rsidRDefault="003609B6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5C8" w:rsidRDefault="006B15C8">
      <w:pPr>
        <w:spacing w:line="240" w:lineRule="auto"/>
      </w:pPr>
      <w:r>
        <w:separator/>
      </w:r>
    </w:p>
  </w:footnote>
  <w:footnote w:type="continuationSeparator" w:id="0">
    <w:p w:rsidR="006B15C8" w:rsidRDefault="006B15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9B6" w:rsidRDefault="003609B6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B6"/>
    <w:rsid w:val="0032657E"/>
    <w:rsid w:val="003609B6"/>
    <w:rsid w:val="006B15C8"/>
    <w:rsid w:val="00984490"/>
    <w:rsid w:val="00B1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98165D-DC5E-4E64-8DBE-7D187A84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line="285" w:lineRule="auto"/>
      <w:jc w:val="both"/>
    </w:pPr>
    <w:rPr>
      <w:rFonts w:ascii="微軟正黑體" w:eastAsia="微軟正黑體" w:hAnsi="微軟正黑體" w:cs="微軟正黑體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PingFang TC Regular" w:eastAsia="Arial Unicode MS" w:hAnsi="PingFang T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pm.hdu.tw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ANNECHEN</dc:creator>
  <cp:lastModifiedBy>kantian</cp:lastModifiedBy>
  <cp:revision>3</cp:revision>
  <dcterms:created xsi:type="dcterms:W3CDTF">2022-03-21T04:00:00Z</dcterms:created>
  <dcterms:modified xsi:type="dcterms:W3CDTF">2022-03-28T03:14:00Z</dcterms:modified>
</cp:coreProperties>
</file>